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08784">
      <w:pPr>
        <w:tabs>
          <w:tab w:val="right" w:pos="9216"/>
        </w:tabs>
        <w:spacing w:after="0"/>
        <w:rPr>
          <w:rFonts w:hint="default"/>
          <w:b/>
          <w:kern w:val="2"/>
          <w:lang w:val="en-US" w:eastAsia="zh-CN"/>
        </w:rPr>
      </w:pPr>
      <w:r>
        <w:rPr>
          <w:b/>
          <w:kern w:val="2"/>
          <w:lang w:eastAsia="zh-CN"/>
        </w:rPr>
        <w:t>3GPP TSG-RAN WG1 Meeting #</w:t>
      </w:r>
      <w:r>
        <w:rPr>
          <w:rFonts w:hint="eastAsia"/>
          <w:b/>
          <w:kern w:val="2"/>
          <w:lang w:val="en-US" w:eastAsia="zh-CN"/>
        </w:rPr>
        <w:t>RAN 118b</w:t>
      </w:r>
      <w:r>
        <w:rPr>
          <w:b/>
          <w:kern w:val="2"/>
          <w:lang w:eastAsia="zh-CN"/>
        </w:rPr>
        <w:tab/>
      </w:r>
      <w:r>
        <w:rPr>
          <w:b/>
          <w:kern w:val="2"/>
          <w:lang w:eastAsia="zh-CN"/>
        </w:rPr>
        <w:t>R1-</w:t>
      </w:r>
      <w:r>
        <w:rPr>
          <w:rFonts w:hint="eastAsia"/>
          <w:b/>
          <w:kern w:val="2"/>
          <w:lang w:val="en-US" w:eastAsia="zh-CN"/>
        </w:rPr>
        <w:t>2408496</w:t>
      </w:r>
    </w:p>
    <w:p w14:paraId="33D28B86">
      <w:pPr>
        <w:rPr>
          <w:rFonts w:hint="default"/>
          <w:b/>
          <w:kern w:val="2"/>
          <w:lang w:val="en-US" w:eastAsia="zh-CN"/>
        </w:rPr>
      </w:pPr>
      <w:r>
        <w:rPr>
          <w:rFonts w:hint="eastAsia"/>
          <w:b/>
          <w:kern w:val="2"/>
          <w:lang w:val="en-US" w:eastAsia="zh-CN"/>
        </w:rPr>
        <w:t>Hefei</w:t>
      </w:r>
      <w:r>
        <w:rPr>
          <w:b/>
          <w:kern w:val="2"/>
          <w:lang w:eastAsia="zh-CN"/>
        </w:rPr>
        <w:t xml:space="preserve">, </w:t>
      </w:r>
      <w:r>
        <w:rPr>
          <w:rFonts w:hint="eastAsia"/>
          <w:b/>
          <w:kern w:val="2"/>
          <w:lang w:val="en-US" w:eastAsia="zh-CN"/>
        </w:rPr>
        <w:t>China</w:t>
      </w:r>
      <w:r>
        <w:rPr>
          <w:b/>
          <w:kern w:val="2"/>
          <w:lang w:eastAsia="zh-CN"/>
        </w:rPr>
        <w:t xml:space="preserve">, </w:t>
      </w:r>
      <w:r>
        <w:rPr>
          <w:rFonts w:hint="eastAsia"/>
          <w:b/>
          <w:kern w:val="2"/>
          <w:lang w:val="en-US" w:eastAsia="zh-CN"/>
        </w:rPr>
        <w:t>14</w:t>
      </w:r>
      <w:r>
        <w:rPr>
          <w:b/>
          <w:kern w:val="2"/>
          <w:lang w:eastAsia="zh-CN"/>
        </w:rPr>
        <w:t>-2</w:t>
      </w:r>
      <w:r>
        <w:rPr>
          <w:rFonts w:hint="eastAsia"/>
          <w:b/>
          <w:kern w:val="2"/>
          <w:lang w:val="en-US" w:eastAsia="zh-CN"/>
        </w:rPr>
        <w:t>8</w:t>
      </w:r>
      <w:r>
        <w:rPr>
          <w:b/>
          <w:kern w:val="2"/>
          <w:lang w:eastAsia="zh-CN"/>
        </w:rPr>
        <w:t xml:space="preserve"> </w:t>
      </w:r>
      <w:r>
        <w:rPr>
          <w:rFonts w:hint="eastAsia"/>
          <w:b/>
          <w:kern w:val="2"/>
          <w:lang w:val="en-US" w:eastAsia="zh-CN"/>
        </w:rPr>
        <w:t>Qct</w:t>
      </w:r>
      <w:r>
        <w:rPr>
          <w:b/>
          <w:kern w:val="2"/>
          <w:lang w:eastAsia="zh-CN"/>
        </w:rPr>
        <w:t>, 202</w:t>
      </w:r>
      <w:r>
        <w:rPr>
          <w:rFonts w:hint="eastAsia"/>
          <w:b/>
          <w:kern w:val="2"/>
          <w:lang w:val="en-US" w:eastAsia="zh-CN"/>
        </w:rPr>
        <w:t>4</w:t>
      </w:r>
    </w:p>
    <w:p w14:paraId="636696B0">
      <w:pPr>
        <w:pBdr>
          <w:top w:val="single" w:color="auto" w:sz="4" w:space="1"/>
        </w:pBdr>
        <w:spacing w:after="0"/>
        <w:rPr>
          <w:b/>
          <w:kern w:val="2"/>
          <w:sz w:val="16"/>
          <w:szCs w:val="16"/>
          <w:lang w:eastAsia="zh-CN"/>
        </w:rPr>
      </w:pPr>
    </w:p>
    <w:p w14:paraId="54559255">
      <w:pPr>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9.2.2</w:t>
      </w:r>
    </w:p>
    <w:p w14:paraId="7AA512EC">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1D4A846">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val="en-US" w:eastAsia="zh-CN"/>
        </w:rPr>
        <w:t>Discussion on CSI enhancements</w:t>
      </w:r>
    </w:p>
    <w:p w14:paraId="2D797308">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7D3F9230">
      <w:pPr>
        <w:pBdr>
          <w:bottom w:val="single" w:color="auto" w:sz="4" w:space="1"/>
        </w:pBdr>
        <w:spacing w:after="0"/>
        <w:rPr>
          <w:b/>
          <w:kern w:val="2"/>
          <w:sz w:val="16"/>
          <w:szCs w:val="16"/>
          <w:lang w:eastAsia="zh-CN"/>
        </w:rPr>
      </w:pPr>
    </w:p>
    <w:p w14:paraId="2D7B334F">
      <w:pPr>
        <w:pStyle w:val="2"/>
      </w:pPr>
      <w:bookmarkStart w:id="0" w:name="_Ref124589705"/>
      <w:bookmarkStart w:id="1" w:name="_Ref129681862"/>
      <w:r>
        <w:t>Introduction</w:t>
      </w:r>
      <w:bookmarkEnd w:id="0"/>
      <w:bookmarkEnd w:id="1"/>
    </w:p>
    <w:p w14:paraId="73DFBA0D">
      <w:pPr>
        <w:rPr>
          <w:rFonts w:hint="default" w:eastAsia="宋体"/>
          <w:lang w:val="en-US" w:eastAsia="zh-CN"/>
        </w:rPr>
      </w:pPr>
      <w:r>
        <w:rPr>
          <w:rFonts w:hint="default" w:eastAsia="宋体"/>
          <w:lang w:val="en-US" w:eastAsia="zh-CN"/>
        </w:rPr>
        <w:t>In the last meeting, significant progress was made on enhancing CSI acquisition to support up to 128 CSI-RS ports on FR1, along with UE reporting refinement for CJT, with agreements reached [1]. In this contribution, we provide our views on U</w:t>
      </w:r>
      <w:bookmarkStart w:id="14" w:name="_GoBack"/>
      <w:bookmarkEnd w:id="14"/>
      <w:r>
        <w:rPr>
          <w:rFonts w:hint="default" w:eastAsia="宋体"/>
          <w:lang w:val="en-US" w:eastAsia="zh-CN"/>
        </w:rPr>
        <w:t>E reporting enhancements for CJT.</w:t>
      </w:r>
    </w:p>
    <w:p w14:paraId="00EA0E99">
      <w:pPr>
        <w:rPr>
          <w:rFonts w:hint="default" w:eastAsia="宋体"/>
          <w:lang w:val="en-US" w:eastAsia="zh-CN"/>
        </w:rPr>
      </w:pPr>
    </w:p>
    <w:p w14:paraId="2A0EE0D1">
      <w:pPr>
        <w:pStyle w:val="2"/>
        <w:rPr>
          <w:lang w:eastAsia="zh-CN"/>
        </w:rPr>
      </w:pPr>
      <w:r>
        <w:rPr>
          <w:rFonts w:hint="eastAsia"/>
          <w:lang w:val="en-US" w:eastAsia="zh-CN"/>
        </w:rPr>
        <w:t>Discussion</w:t>
      </w:r>
    </w:p>
    <w:p w14:paraId="583AFD12">
      <w:pPr>
        <w:rPr>
          <w:rFonts w:hint="eastAsia" w:cs="Times New Roman"/>
          <w:kern w:val="2"/>
          <w:lang w:val="en-US" w:eastAsia="zh-CN"/>
        </w:rPr>
      </w:pPr>
      <w:bookmarkStart w:id="2" w:name="_Ref129681832"/>
    </w:p>
    <w:p w14:paraId="71AD8070">
      <w:pPr>
        <w:pStyle w:val="3"/>
        <w:bidi w:val="0"/>
        <w:rPr>
          <w:kern w:val="2"/>
          <w:lang w:eastAsia="zh-CN"/>
        </w:rPr>
      </w:pPr>
      <w:r>
        <w:rPr>
          <w:rFonts w:hint="eastAsia"/>
          <w:kern w:val="2"/>
          <w:lang w:val="en-US" w:eastAsia="zh-CN"/>
        </w:rPr>
        <w:t xml:space="preserve">UE </w:t>
      </w:r>
      <w:r>
        <w:rPr>
          <w:rFonts w:hint="eastAsia" w:ascii="Times New Roman" w:hAnsi="Times New Roman" w:eastAsia="宋体" w:cs="Times New Roman"/>
          <w:kern w:val="2"/>
          <w:lang w:val="en-US" w:eastAsia="zh-CN"/>
        </w:rPr>
        <w:t xml:space="preserve">reporting </w:t>
      </w:r>
      <w:r>
        <w:rPr>
          <w:rFonts w:hint="eastAsia"/>
          <w:kern w:val="2"/>
          <w:lang w:val="en-US" w:eastAsia="zh-CN"/>
        </w:rPr>
        <w:t>refinement for CJT</w:t>
      </w:r>
    </w:p>
    <w:p w14:paraId="659B5F16">
      <w:pPr>
        <w:rPr>
          <w:rFonts w:hint="eastAsia"/>
          <w:kern w:val="2"/>
          <w:lang w:val="en-US" w:eastAsia="zh-CN"/>
        </w:rPr>
      </w:pP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14:paraId="2B35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73" w:hRule="atLeast"/>
        </w:trPr>
        <w:tc>
          <w:tcPr>
            <w:tcW w:w="9351" w:type="dxa"/>
            <w:vMerge w:val="restart"/>
          </w:tcPr>
          <w:p w14:paraId="7E7AE06C">
            <w:pPr>
              <w:widowControl w:val="0"/>
              <w:snapToGrid w:val="0"/>
              <w:spacing w:after="0" w:line="240" w:lineRule="auto"/>
              <w:rPr>
                <w:rFonts w:ascii="Times New Roman" w:hAnsi="Times New Roman" w:eastAsia="Malgun Gothic" w:cs="Times New Roman"/>
                <w:sz w:val="20"/>
                <w:szCs w:val="20"/>
                <w:lang w:val="en-GB" w:eastAsia="en-US"/>
              </w:rPr>
            </w:pPr>
            <w:r>
              <w:rPr>
                <w:rFonts w:ascii="Times New Roman" w:hAnsi="Times New Roman" w:cs="Times New Roman"/>
                <w:b/>
                <w:sz w:val="20"/>
                <w:szCs w:val="16"/>
                <w:u w:val="single"/>
                <w:lang w:val="en-GB"/>
              </w:rPr>
              <w:t>Proposal 3.A.2</w:t>
            </w:r>
            <w:r>
              <w:rPr>
                <w:rFonts w:ascii="Times New Roman" w:hAnsi="Times New Roman" w:cs="Times New Roman"/>
                <w:sz w:val="20"/>
                <w:szCs w:val="16"/>
                <w:lang w:val="en-GB"/>
              </w:rPr>
              <w:t xml:space="preserve">: </w:t>
            </w:r>
            <w:r>
              <w:rPr>
                <w:rFonts w:ascii="Times" w:hAnsi="Times"/>
                <w:sz w:val="20"/>
                <w:szCs w:val="20"/>
                <w:lang w:val="en-GB"/>
              </w:rPr>
              <w:t xml:space="preserve">For the Rel-19 aperiodic standalone CJT calibration reporting, when ReportQuantity is ‘cjtc-P’ (DL/UL phase offset), </w:t>
            </w:r>
            <w:r>
              <w:rPr>
                <w:rFonts w:ascii="Times New Roman" w:hAnsi="Times New Roman" w:eastAsia="Malgun Gothic" w:cs="Times New Roman"/>
                <w:sz w:val="20"/>
                <w:szCs w:val="20"/>
                <w:lang w:val="en-GB" w:eastAsia="en-US"/>
              </w:rPr>
              <w:t xml:space="preserve">regarding the </w:t>
            </w:r>
            <w:r>
              <w:rPr>
                <w:rFonts w:ascii="Times" w:hAnsi="Times" w:eastAsia="Malgun Gothic" w:cs="Times New Roman"/>
                <w:sz w:val="20"/>
                <w:szCs w:val="20"/>
                <w:lang w:val="en-GB" w:eastAsia="en-US"/>
              </w:rPr>
              <w:t>configured associated SRS resource,</w:t>
            </w:r>
          </w:p>
          <w:p w14:paraId="4B008E16">
            <w:pPr>
              <w:widowControl w:val="0"/>
              <w:numPr>
                <w:ilvl w:val="0"/>
                <w:numId w:val="6"/>
              </w:numPr>
              <w:snapToGrid w:val="0"/>
              <w:spacing w:after="0" w:line="240" w:lineRule="auto"/>
              <w:contextualSpacing/>
              <w:rPr>
                <w:rFonts w:ascii="Times New Roman" w:hAnsi="Times New Roman" w:eastAsia="Malgun Gothic" w:cs="Times New Roman"/>
                <w:sz w:val="20"/>
                <w:szCs w:val="20"/>
                <w:lang w:val="en-GB" w:eastAsia="en-US"/>
              </w:rPr>
            </w:pPr>
            <w:r>
              <w:rPr>
                <w:rFonts w:ascii="Times New Roman" w:hAnsi="Times New Roman" w:eastAsia="Malgun Gothic" w:cs="Times New Roman"/>
                <w:sz w:val="20"/>
                <w:szCs w:val="20"/>
                <w:lang w:val="en-GB" w:eastAsia="en-US"/>
              </w:rPr>
              <w:t>Confirm the following working assumption as agreement: “the configured associated SRS resource can be either periodic, semi-persistent, or aperiodic”</w:t>
            </w:r>
          </w:p>
          <w:p w14:paraId="6F57CFC2">
            <w:pPr>
              <w:widowControl w:val="0"/>
              <w:numPr>
                <w:ilvl w:val="0"/>
                <w:numId w:val="6"/>
              </w:numPr>
              <w:snapToGrid w:val="0"/>
              <w:spacing w:after="0" w:line="240" w:lineRule="auto"/>
              <w:contextualSpacing/>
              <w:rPr>
                <w:rFonts w:ascii="Times New Roman" w:hAnsi="Times New Roman" w:eastAsia="Malgun Gothic" w:cs="Times New Roman"/>
                <w:sz w:val="20"/>
                <w:szCs w:val="20"/>
                <w:lang w:val="en-GB" w:eastAsia="en-US"/>
              </w:rPr>
            </w:pPr>
            <w:r>
              <w:rPr>
                <w:rFonts w:ascii="Times New Roman" w:hAnsi="Times New Roman" w:eastAsia="Malgun Gothic" w:cs="Times New Roman"/>
                <w:sz w:val="20"/>
                <w:szCs w:val="20"/>
                <w:lang w:val="en-GB" w:eastAsia="en-US"/>
              </w:rPr>
              <w:t>When periodic or semi-persistent associated SRS resource is configured, the SRS transmission occasion for determining the reference UE antenna port corresponds to the latest SRS transmission occasion before the N</w:t>
            </w:r>
            <w:r>
              <w:rPr>
                <w:rFonts w:ascii="Times New Roman" w:hAnsi="Times New Roman" w:eastAsia="Malgun Gothic" w:cs="Times New Roman"/>
                <w:sz w:val="20"/>
                <w:szCs w:val="20"/>
                <w:vertAlign w:val="subscript"/>
                <w:lang w:val="en-GB" w:eastAsia="en-US"/>
              </w:rPr>
              <w:t>TRP</w:t>
            </w:r>
            <w:r>
              <w:rPr>
                <w:rFonts w:ascii="Times New Roman" w:hAnsi="Times New Roman" w:eastAsia="Malgun Gothic" w:cs="Times New Roman"/>
                <w:sz w:val="20"/>
                <w:szCs w:val="20"/>
                <w:lang w:val="en-GB" w:eastAsia="en-US"/>
              </w:rPr>
              <w:t xml:space="preserve"> CSI-RS occasions used for measuring ‘cjtc-P’ report</w:t>
            </w:r>
          </w:p>
          <w:p w14:paraId="16CA49A7">
            <w:pPr>
              <w:widowControl w:val="0"/>
              <w:numPr>
                <w:ilvl w:val="1"/>
                <w:numId w:val="6"/>
              </w:numPr>
              <w:snapToGrid w:val="0"/>
              <w:spacing w:after="0" w:line="240" w:lineRule="auto"/>
              <w:contextualSpacing/>
              <w:rPr>
                <w:rFonts w:ascii="Times New Roman" w:hAnsi="Times New Roman" w:eastAsia="Malgun Gothic" w:cs="Times New Roman"/>
                <w:sz w:val="20"/>
                <w:szCs w:val="20"/>
                <w:lang w:val="en-GB" w:eastAsia="en-US"/>
              </w:rPr>
            </w:pPr>
            <w:r>
              <w:rPr>
                <w:rFonts w:ascii="Times New Roman" w:hAnsi="Times New Roman" w:eastAsia="Malgun Gothic" w:cs="Times New Roman"/>
                <w:sz w:val="20"/>
                <w:szCs w:val="20"/>
                <w:lang w:val="en-GB" w:eastAsia="en-US"/>
              </w:rPr>
              <w:t xml:space="preserve">FFS: Whether ‘the earliest SRS transmission occasion after the </w:t>
            </w:r>
            <w:bookmarkStart w:id="3" w:name="OLE_LINK13"/>
            <w:bookmarkStart w:id="4" w:name="OLE_LINK6"/>
            <w:r>
              <w:rPr>
                <w:rFonts w:ascii="Times New Roman" w:hAnsi="Times New Roman" w:eastAsia="Malgun Gothic" w:cs="Times New Roman"/>
                <w:sz w:val="20"/>
                <w:szCs w:val="20"/>
                <w:lang w:val="en-GB" w:eastAsia="en-US"/>
              </w:rPr>
              <w:t>N</w:t>
            </w:r>
            <w:r>
              <w:rPr>
                <w:rFonts w:ascii="Times New Roman" w:hAnsi="Times New Roman" w:eastAsia="Malgun Gothic" w:cs="Times New Roman"/>
                <w:sz w:val="20"/>
                <w:szCs w:val="20"/>
                <w:vertAlign w:val="subscript"/>
                <w:lang w:val="en-GB" w:eastAsia="en-US"/>
              </w:rPr>
              <w:t>TRP</w:t>
            </w:r>
            <w:r>
              <w:rPr>
                <w:rFonts w:ascii="Times New Roman" w:hAnsi="Times New Roman" w:eastAsia="Malgun Gothic" w:cs="Times New Roman"/>
                <w:sz w:val="20"/>
                <w:szCs w:val="20"/>
                <w:lang w:val="en-GB" w:eastAsia="en-US"/>
              </w:rPr>
              <w:t xml:space="preserve"> CSI-RS</w:t>
            </w:r>
            <w:bookmarkEnd w:id="3"/>
            <w:r>
              <w:rPr>
                <w:rFonts w:ascii="Times New Roman" w:hAnsi="Times New Roman" w:eastAsia="Malgun Gothic" w:cs="Times New Roman"/>
                <w:sz w:val="20"/>
                <w:szCs w:val="20"/>
                <w:lang w:val="en-GB" w:eastAsia="en-US"/>
              </w:rPr>
              <w:t xml:space="preserve"> occasions</w:t>
            </w:r>
            <w:bookmarkEnd w:id="4"/>
            <w:r>
              <w:rPr>
                <w:rFonts w:ascii="Times New Roman" w:hAnsi="Times New Roman" w:eastAsia="Malgun Gothic" w:cs="Times New Roman"/>
                <w:sz w:val="20"/>
                <w:szCs w:val="20"/>
                <w:lang w:val="en-GB" w:eastAsia="en-US"/>
              </w:rPr>
              <w:t>’ is also supported as an option</w:t>
            </w:r>
          </w:p>
          <w:p w14:paraId="69784F07">
            <w:pPr>
              <w:widowControl w:val="0"/>
              <w:numPr>
                <w:ilvl w:val="1"/>
                <w:numId w:val="6"/>
              </w:numPr>
              <w:snapToGrid w:val="0"/>
              <w:spacing w:after="0" w:line="240" w:lineRule="auto"/>
              <w:contextualSpacing/>
              <w:rPr>
                <w:rFonts w:ascii="Times New Roman" w:hAnsi="Times New Roman" w:eastAsia="Malgun Gothic" w:cs="Times New Roman"/>
                <w:sz w:val="20"/>
                <w:szCs w:val="20"/>
                <w:lang w:val="en-GB" w:eastAsia="en-US"/>
              </w:rPr>
            </w:pPr>
            <w:r>
              <w:rPr>
                <w:rFonts w:ascii="Times New Roman" w:hAnsi="Times New Roman" w:eastAsia="Malgun Gothic" w:cs="Times New Roman"/>
                <w:sz w:val="20"/>
                <w:szCs w:val="20"/>
                <w:lang w:val="en-GB" w:eastAsia="en-US"/>
              </w:rPr>
              <w:t>FFS: Whether determination of SRS transmission occasion is needed for aperiodic associated SRS resource, and if so, how</w:t>
            </w:r>
          </w:p>
          <w:p w14:paraId="202BD484">
            <w:pPr>
              <w:widowControl w:val="0"/>
              <w:rPr>
                <w:rFonts w:hint="eastAsia" w:eastAsia="宋体" w:cs="Times"/>
                <w:lang w:val="en-GB" w:eastAsia="zh-CN"/>
              </w:rPr>
            </w:pPr>
          </w:p>
        </w:tc>
      </w:tr>
      <w:tr w14:paraId="4A19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14:paraId="6D99EE32">
            <w:pPr>
              <w:widowControl w:val="0"/>
              <w:rPr>
                <w:sz w:val="18"/>
                <w:szCs w:val="18"/>
              </w:rPr>
            </w:pPr>
          </w:p>
        </w:tc>
      </w:tr>
      <w:tr w14:paraId="56669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14:paraId="3A43E124">
            <w:pPr>
              <w:widowControl w:val="0"/>
              <w:rPr>
                <w:sz w:val="18"/>
                <w:szCs w:val="18"/>
              </w:rPr>
            </w:pPr>
          </w:p>
        </w:tc>
      </w:tr>
    </w:tbl>
    <w:p w14:paraId="6FD2C1DF">
      <w:pPr>
        <w:rPr>
          <w:lang w:eastAsia="zh-CN"/>
        </w:rPr>
      </w:pPr>
    </w:p>
    <w:p w14:paraId="7722450B">
      <w:pPr>
        <w:widowControl w:val="0"/>
        <w:snapToGrid w:val="0"/>
        <w:rPr>
          <w:rFonts w:hint="default"/>
          <w:szCs w:val="20"/>
          <w:lang w:val="en-US" w:eastAsia="zh-CN"/>
        </w:rPr>
      </w:pPr>
      <w:r>
        <w:rPr>
          <w:rFonts w:hint="default"/>
          <w:szCs w:val="20"/>
          <w:lang w:val="en-US" w:eastAsia="zh-CN"/>
        </w:rPr>
        <w:t xml:space="preserve">Based on the offline email discussion, two FFS items remain. For the first FFS, as some companies mentioned, the earliest SRS transmission occasion after the </w:t>
      </w:r>
      <w:r>
        <w:rPr>
          <w:rFonts w:hint="eastAsia"/>
          <w:szCs w:val="20"/>
          <w:lang w:val="en-GB" w:eastAsia="en-US"/>
        </w:rPr>
        <w:t>N</w:t>
      </w:r>
      <w:r>
        <w:rPr>
          <w:rFonts w:hint="eastAsia"/>
          <w:szCs w:val="20"/>
          <w:vertAlign w:val="subscript"/>
          <w:lang w:val="en-GB" w:eastAsia="en-US"/>
        </w:rPr>
        <w:t>TRP</w:t>
      </w:r>
      <w:r>
        <w:rPr>
          <w:rFonts w:hint="eastAsia"/>
          <w:szCs w:val="20"/>
          <w:vertAlign w:val="subscript"/>
          <w:lang w:val="en-US" w:eastAsia="zh-CN"/>
        </w:rPr>
        <w:t xml:space="preserve"> </w:t>
      </w:r>
      <w:r>
        <w:rPr>
          <w:rFonts w:hint="default"/>
          <w:szCs w:val="20"/>
          <w:lang w:val="en-US" w:eastAsia="zh-CN"/>
        </w:rPr>
        <w:t xml:space="preserve">CSI-RS occasion applies only to non-precoded CSI-RS measurements. The latest SRS transmission occasion before the </w:t>
      </w:r>
      <w:r>
        <w:rPr>
          <w:rFonts w:hint="eastAsia"/>
          <w:szCs w:val="20"/>
          <w:lang w:val="en-GB" w:eastAsia="en-US"/>
        </w:rPr>
        <w:t>N</w:t>
      </w:r>
      <w:r>
        <w:rPr>
          <w:rFonts w:hint="eastAsia"/>
          <w:szCs w:val="20"/>
          <w:vertAlign w:val="subscript"/>
          <w:lang w:val="en-GB" w:eastAsia="en-US"/>
        </w:rPr>
        <w:t>TRP</w:t>
      </w:r>
      <w:r>
        <w:rPr>
          <w:rFonts w:hint="eastAsia"/>
          <w:szCs w:val="20"/>
          <w:vertAlign w:val="subscript"/>
          <w:lang w:val="en-US" w:eastAsia="zh-CN"/>
        </w:rPr>
        <w:t xml:space="preserve"> </w:t>
      </w:r>
      <w:r>
        <w:rPr>
          <w:rFonts w:hint="default"/>
          <w:szCs w:val="20"/>
          <w:lang w:val="en-US" w:eastAsia="zh-CN"/>
        </w:rPr>
        <w:t xml:space="preserve">CSI-RS occasion applies to both precoded and non-precoded CSI-RS measurements. To simplify the specification, we prefer supporting the latest SRS transmission occasion before the </w:t>
      </w:r>
      <w:r>
        <w:rPr>
          <w:rFonts w:hint="eastAsia"/>
          <w:szCs w:val="20"/>
          <w:lang w:val="en-US" w:eastAsia="zh-CN"/>
        </w:rPr>
        <w:t xml:space="preserve"> </w:t>
      </w:r>
      <w:r>
        <w:rPr>
          <w:rFonts w:hint="eastAsia"/>
          <w:szCs w:val="20"/>
          <w:lang w:val="en-GB" w:eastAsia="en-US"/>
        </w:rPr>
        <w:t>N</w:t>
      </w:r>
      <w:r>
        <w:rPr>
          <w:rFonts w:hint="eastAsia"/>
          <w:szCs w:val="20"/>
          <w:vertAlign w:val="subscript"/>
          <w:lang w:val="en-GB" w:eastAsia="en-US"/>
        </w:rPr>
        <w:t>TRP</w:t>
      </w:r>
      <w:r>
        <w:rPr>
          <w:rFonts w:hint="eastAsia"/>
          <w:szCs w:val="20"/>
          <w:vertAlign w:val="subscript"/>
          <w:lang w:val="en-US" w:eastAsia="zh-CN"/>
        </w:rPr>
        <w:t xml:space="preserve"> </w:t>
      </w:r>
      <w:r>
        <w:rPr>
          <w:rFonts w:hint="default"/>
          <w:szCs w:val="20"/>
          <w:lang w:val="en-US" w:eastAsia="zh-CN"/>
        </w:rPr>
        <w:t xml:space="preserve">CSI-RS occasion for measuring the ‘cjtc-P’ report. Additionally, regarding whether the time offset between the SRS occasion and the CSI-RS occasion needs to meet a certain time restriction, </w:t>
      </w:r>
      <w:r>
        <w:rPr>
          <w:rFonts w:hint="eastAsia"/>
          <w:szCs w:val="20"/>
          <w:lang w:val="en-US" w:eastAsia="zh-CN"/>
        </w:rPr>
        <w:t>w</w:t>
      </w:r>
      <w:r>
        <w:rPr>
          <w:rFonts w:hint="default"/>
          <w:szCs w:val="20"/>
          <w:lang w:val="en-US" w:eastAsia="zh-CN"/>
        </w:rPr>
        <w:t>e believe this can be achieved through the implementation of the</w:t>
      </w:r>
      <w:r>
        <w:rPr>
          <w:rFonts w:hint="eastAsia"/>
          <w:szCs w:val="20"/>
          <w:lang w:val="en-US" w:eastAsia="zh-CN"/>
        </w:rPr>
        <w:t xml:space="preserve"> gNB</w:t>
      </w:r>
      <w:r>
        <w:rPr>
          <w:rFonts w:hint="default"/>
          <w:szCs w:val="20"/>
          <w:lang w:val="en-US" w:eastAsia="zh-CN"/>
        </w:rPr>
        <w:t>. For the second FFS, we fail to see the necessity to determine the SRS transmission occasion for an aperiodic SRS resource, as there is only one option, leaving no choice for the gNB.</w:t>
      </w:r>
    </w:p>
    <w:p w14:paraId="783D91C6">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eastAsia="Malgun Gothic" w:cs="Times New Roman"/>
          <w:sz w:val="22"/>
          <w:szCs w:val="22"/>
          <w:lang w:val="en-GB" w:eastAsia="en-US"/>
        </w:rPr>
      </w:pPr>
      <w:bookmarkStart w:id="5" w:name="OLE_LINK1"/>
      <w:r>
        <w:rPr>
          <w:rFonts w:hint="eastAsia"/>
          <w:sz w:val="22"/>
          <w:szCs w:val="22"/>
          <w:lang w:val="en-US" w:eastAsia="zh-CN"/>
        </w:rPr>
        <w:t xml:space="preserve"> </w:t>
      </w:r>
      <w:r>
        <w:rPr>
          <w:rFonts w:hint="eastAsia" w:eastAsia="宋体"/>
          <w:b/>
          <w:i/>
          <w:sz w:val="22"/>
          <w:szCs w:val="22"/>
          <w:highlight w:val="none"/>
          <w:lang w:val="en-US" w:eastAsia="zh-CN"/>
        </w:rPr>
        <w:t xml:space="preserve">: </w:t>
      </w:r>
      <w:r>
        <w:rPr>
          <w:rFonts w:hint="eastAsia"/>
          <w:b/>
          <w:i/>
          <w:sz w:val="22"/>
          <w:szCs w:val="22"/>
          <w:highlight w:val="none"/>
          <w:lang w:val="en-US" w:eastAsia="zh-CN"/>
        </w:rPr>
        <w:t>For the SP-SRS or P-SRS measurement</w:t>
      </w:r>
      <w:r>
        <w:rPr>
          <w:rFonts w:hint="eastAsia"/>
          <w:b/>
          <w:i/>
          <w:iCs w:val="0"/>
          <w:sz w:val="22"/>
          <w:szCs w:val="22"/>
          <w:highlight w:val="none"/>
          <w:lang w:val="en-US" w:eastAsia="zh-CN"/>
        </w:rPr>
        <w:t xml:space="preserve">, not support </w:t>
      </w:r>
      <w:r>
        <w:rPr>
          <w:rFonts w:ascii="Times New Roman" w:hAnsi="Times New Roman" w:eastAsia="Malgun Gothic" w:cs="Times New Roman"/>
          <w:i/>
          <w:iCs w:val="0"/>
          <w:sz w:val="22"/>
          <w:szCs w:val="22"/>
          <w:lang w:val="en-GB" w:eastAsia="en-US"/>
        </w:rPr>
        <w:t xml:space="preserve">the SRS transmission occasion for determining the reference UE antenna port corresponds to the </w:t>
      </w:r>
      <w:r>
        <w:rPr>
          <w:rFonts w:hint="eastAsia" w:eastAsia="宋体" w:cs="Times New Roman"/>
          <w:i/>
          <w:iCs w:val="0"/>
          <w:sz w:val="22"/>
          <w:szCs w:val="22"/>
          <w:lang w:val="en-US" w:eastAsia="zh-CN"/>
        </w:rPr>
        <w:t xml:space="preserve">earliest </w:t>
      </w:r>
      <w:r>
        <w:rPr>
          <w:rFonts w:ascii="Times New Roman" w:hAnsi="Times New Roman" w:eastAsia="Malgun Gothic" w:cs="Times New Roman"/>
          <w:i/>
          <w:iCs w:val="0"/>
          <w:sz w:val="22"/>
          <w:szCs w:val="22"/>
          <w:lang w:val="en-GB" w:eastAsia="en-US"/>
        </w:rPr>
        <w:t xml:space="preserve">SRS transmission occasion </w:t>
      </w:r>
      <w:r>
        <w:rPr>
          <w:rFonts w:hint="eastAsia" w:eastAsia="宋体" w:cs="Times New Roman"/>
          <w:i/>
          <w:iCs w:val="0"/>
          <w:sz w:val="22"/>
          <w:szCs w:val="22"/>
          <w:lang w:val="en-US" w:eastAsia="zh-CN"/>
        </w:rPr>
        <w:t>after</w:t>
      </w:r>
      <w:r>
        <w:rPr>
          <w:rFonts w:ascii="Times New Roman" w:hAnsi="Times New Roman" w:eastAsia="Malgun Gothic" w:cs="Times New Roman"/>
          <w:i/>
          <w:iCs w:val="0"/>
          <w:sz w:val="22"/>
          <w:szCs w:val="22"/>
          <w:lang w:val="en-GB" w:eastAsia="en-US"/>
        </w:rPr>
        <w:t xml:space="preserve"> the N</w:t>
      </w:r>
      <w:r>
        <w:rPr>
          <w:rFonts w:ascii="Times New Roman" w:hAnsi="Times New Roman" w:eastAsia="Malgun Gothic" w:cs="Times New Roman"/>
          <w:i/>
          <w:iCs w:val="0"/>
          <w:sz w:val="22"/>
          <w:szCs w:val="22"/>
          <w:vertAlign w:val="subscript"/>
          <w:lang w:val="en-GB" w:eastAsia="en-US"/>
        </w:rPr>
        <w:t>TRP</w:t>
      </w:r>
      <w:r>
        <w:rPr>
          <w:rFonts w:ascii="Times New Roman" w:hAnsi="Times New Roman" w:eastAsia="Malgun Gothic" w:cs="Times New Roman"/>
          <w:i/>
          <w:iCs w:val="0"/>
          <w:sz w:val="22"/>
          <w:szCs w:val="22"/>
          <w:lang w:val="en-GB" w:eastAsia="en-US"/>
        </w:rPr>
        <w:t xml:space="preserve"> CSI-RS occasions used for measuring ‘cjtc-P’ report</w:t>
      </w:r>
      <w:r>
        <w:rPr>
          <w:rFonts w:hint="eastAsia" w:eastAsia="宋体" w:cs="Times New Roman"/>
          <w:i/>
          <w:iCs w:val="0"/>
          <w:sz w:val="22"/>
          <w:szCs w:val="22"/>
          <w:lang w:val="en-US" w:eastAsia="zh-CN"/>
        </w:rPr>
        <w:t>.</w:t>
      </w:r>
    </w:p>
    <w:bookmarkEnd w:id="5"/>
    <w:p w14:paraId="43DF7A90">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szCs w:val="20"/>
          <w:lang w:val="en-US" w:eastAsia="zh-CN"/>
        </w:rPr>
      </w:pPr>
      <w:bookmarkStart w:id="6" w:name="OLE_LINK4"/>
      <w:r>
        <w:rPr>
          <w:rFonts w:hint="eastAsia" w:eastAsia="宋体" w:cs="Times New Roman"/>
          <w:i/>
          <w:iCs w:val="0"/>
          <w:sz w:val="22"/>
          <w:szCs w:val="22"/>
          <w:lang w:val="en-US" w:eastAsia="zh-CN"/>
        </w:rPr>
        <w:t>: For the AP-SRS resource, it is unnecessary to determ</w:t>
      </w:r>
      <w:r>
        <w:rPr>
          <w:rFonts w:hint="eastAsia" w:cs="Times New Roman"/>
          <w:i/>
          <w:iCs w:val="0"/>
          <w:sz w:val="22"/>
          <w:szCs w:val="22"/>
          <w:lang w:val="en-US" w:eastAsia="zh-CN"/>
        </w:rPr>
        <w:t>ine</w:t>
      </w:r>
      <w:r>
        <w:rPr>
          <w:rFonts w:hint="eastAsia" w:eastAsia="宋体" w:cs="Times New Roman"/>
          <w:i/>
          <w:iCs w:val="0"/>
          <w:sz w:val="22"/>
          <w:szCs w:val="22"/>
          <w:lang w:val="en-US" w:eastAsia="zh-CN"/>
        </w:rPr>
        <w:t xml:space="preserve"> </w:t>
      </w:r>
      <w:r>
        <w:rPr>
          <w:rFonts w:hint="eastAsia" w:cs="Times New Roman"/>
          <w:i/>
          <w:iCs w:val="0"/>
          <w:sz w:val="22"/>
          <w:szCs w:val="22"/>
          <w:lang w:val="en-US" w:eastAsia="zh-CN"/>
        </w:rPr>
        <w:t xml:space="preserve">the </w:t>
      </w:r>
      <w:r>
        <w:rPr>
          <w:rFonts w:hint="eastAsia" w:eastAsia="宋体" w:cs="Times New Roman"/>
          <w:i/>
          <w:iCs w:val="0"/>
          <w:sz w:val="22"/>
          <w:szCs w:val="22"/>
          <w:lang w:val="en-US" w:eastAsia="zh-CN"/>
        </w:rPr>
        <w:t>SRS transmission occassion.</w:t>
      </w:r>
    </w:p>
    <w:bookmarkEnd w:id="6"/>
    <w:p w14:paraId="1FC9C62B">
      <w:pPr>
        <w:pStyle w:val="91"/>
        <w:autoSpaceDE/>
        <w:autoSpaceDN/>
        <w:adjustRightInd/>
        <w:snapToGrid/>
        <w:rPr>
          <w:rFonts w:hint="default"/>
          <w:szCs w:val="20"/>
          <w:lang w:val="en-US" w:eastAsia="zh-CN"/>
        </w:rPr>
      </w:pPr>
      <w:bookmarkStart w:id="7" w:name="OLE_LINK5"/>
      <w:r>
        <w:rPr>
          <w:rFonts w:hint="eastAsia" w:eastAsia="宋体" w:cs="Times New Roman"/>
          <w:i/>
          <w:iCs w:val="0"/>
          <w:sz w:val="22"/>
          <w:szCs w:val="22"/>
          <w:lang w:val="en-US" w:eastAsia="zh-CN"/>
        </w:rPr>
        <w:t xml:space="preserve">The time offset restriction between SRS occasion and the CSI-RS occassion can be achieved through the implementation of the gNB. </w:t>
      </w:r>
    </w:p>
    <w:bookmarkEnd w:id="7"/>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14:paraId="520A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73" w:hRule="atLeast"/>
        </w:trPr>
        <w:tc>
          <w:tcPr>
            <w:tcW w:w="9351" w:type="dxa"/>
          </w:tcPr>
          <w:p w14:paraId="74BBF0D6">
            <w:pPr>
              <w:widowControl w:val="0"/>
              <w:spacing w:after="0" w:line="240" w:lineRule="auto"/>
              <w:jc w:val="both"/>
              <w:rPr>
                <w:rFonts w:ascii="Times" w:hAnsi="Times" w:eastAsia="Batang" w:cs="Times"/>
                <w:color w:val="000000" w:themeColor="text1"/>
                <w:sz w:val="20"/>
                <w:szCs w:val="20"/>
                <w:lang w:val="en-GB" w:eastAsia="en-US"/>
                <w14:textFill>
                  <w14:solidFill>
                    <w14:schemeClr w14:val="tx1"/>
                  </w14:solidFill>
                </w14:textFill>
              </w:rPr>
            </w:pPr>
            <w:r>
              <w:rPr>
                <w:rFonts w:ascii="Times New Roman" w:hAnsi="Times New Roman" w:eastAsia="等线" w:cs="Times New Roman"/>
                <w:b/>
                <w:bCs/>
                <w:sz w:val="20"/>
                <w:szCs w:val="20"/>
                <w:u w:val="single"/>
                <w:lang w:val="en-GB" w:eastAsia="zh-CN"/>
              </w:rPr>
              <w:t>Proposal 3.C.1</w:t>
            </w:r>
            <w:r>
              <w:rPr>
                <w:rFonts w:ascii="Times New Roman" w:hAnsi="Times New Roman" w:eastAsia="等线" w:cs="Times New Roman"/>
                <w:bCs/>
                <w:sz w:val="20"/>
                <w:szCs w:val="20"/>
                <w:lang w:val="en-GB" w:eastAsia="zh-CN"/>
              </w:rPr>
              <w:t xml:space="preserve">: </w:t>
            </w:r>
            <w:r>
              <w:rPr>
                <w:rFonts w:ascii="Times" w:hAnsi="Times" w:eastAsia="Calibri" w:cs="Times New Roman"/>
                <w:sz w:val="20"/>
                <w:szCs w:val="20"/>
                <w:lang w:val="en-GB" w:eastAsia="en-US"/>
              </w:rPr>
              <w:t xml:space="preserve">For the Rel-19 aperiodic standalone CJT calibration (CJTC) reporting, </w:t>
            </w:r>
            <w:r>
              <w:rPr>
                <w:rFonts w:ascii="Times" w:hAnsi="Times" w:eastAsia="Batang" w:cs="Times"/>
                <w:sz w:val="20"/>
                <w:szCs w:val="20"/>
                <w:lang w:val="en-GB" w:eastAsia="en-US"/>
              </w:rPr>
              <w:t xml:space="preserve">when </w:t>
            </w:r>
            <w:bookmarkStart w:id="8" w:name="OLE_LINK2"/>
            <w:r>
              <w:rPr>
                <w:rFonts w:ascii="Times" w:hAnsi="Times" w:eastAsia="Batang" w:cs="Times"/>
                <w:sz w:val="20"/>
                <w:szCs w:val="20"/>
                <w:lang w:val="en-GB" w:eastAsia="en-US"/>
              </w:rPr>
              <w:t>linking CJTC Dd and Rel-18 eType-II CJT CSI reports is configured,</w:t>
            </w:r>
            <w:bookmarkEnd w:id="8"/>
            <w:r>
              <w:rPr>
                <w:rFonts w:ascii="Times" w:hAnsi="Times" w:eastAsia="Batang" w:cs="Times"/>
                <w:sz w:val="20"/>
                <w:szCs w:val="20"/>
                <w:lang w:val="en-GB" w:eastAsia="en-US"/>
              </w:rPr>
              <w:t xml:space="preserve"> confirm the following working assumptions as agreement with the foll</w:t>
            </w:r>
            <w:r>
              <w:rPr>
                <w:rFonts w:ascii="Times" w:hAnsi="Times" w:eastAsia="Batang" w:cs="Times"/>
                <w:color w:val="000000" w:themeColor="text1"/>
                <w:sz w:val="20"/>
                <w:szCs w:val="20"/>
                <w:lang w:val="en-GB" w:eastAsia="en-US"/>
                <w14:textFill>
                  <w14:solidFill>
                    <w14:schemeClr w14:val="tx1"/>
                  </w14:solidFill>
                </w14:textFill>
              </w:rPr>
              <w:t>owing refinement:</w:t>
            </w:r>
          </w:p>
          <w:p w14:paraId="401C75EC">
            <w:pPr>
              <w:pStyle w:val="43"/>
              <w:widowControl w:val="0"/>
              <w:numPr>
                <w:ilvl w:val="0"/>
                <w:numId w:val="7"/>
              </w:numPr>
              <w:spacing w:after="0" w:line="240" w:lineRule="auto"/>
              <w:jc w:val="both"/>
              <w:rPr>
                <w:rFonts w:ascii="Times New Roman" w:hAnsi="Times New Roman" w:eastAsia="等线" w:cs="Times New Roman"/>
                <w:bCs/>
                <w:color w:val="000000" w:themeColor="text1"/>
                <w:sz w:val="20"/>
                <w:szCs w:val="20"/>
                <w:lang w:val="en-GB" w:eastAsia="zh-CN"/>
                <w14:textFill>
                  <w14:solidFill>
                    <w14:schemeClr w14:val="tx1"/>
                  </w14:solidFill>
                </w14:textFill>
              </w:rPr>
            </w:pPr>
            <w:r>
              <w:rPr>
                <w:rFonts w:ascii="Times" w:hAnsi="Times" w:eastAsia="宋体" w:cs="Times New Roman"/>
                <w:bCs/>
                <w:color w:val="000000" w:themeColor="text1"/>
                <w:sz w:val="20"/>
                <w:szCs w:val="20"/>
                <w:lang w:val="en-GB" w:eastAsia="en-US"/>
                <w14:textFill>
                  <w14:solidFill>
                    <w14:schemeClr w14:val="tx1"/>
                  </w14:solidFill>
                </w14:textFill>
              </w:rPr>
              <w:t>When separately triggered, the delay offset value to be compensated is the latest reported delay offset (DO) whose reporting instance’s last symbol is before the first symbol of DCI triggering of the CJT CSI reporting</w:t>
            </w:r>
          </w:p>
          <w:p w14:paraId="39AB6141">
            <w:pPr>
              <w:pStyle w:val="43"/>
              <w:widowControl w:val="0"/>
              <w:numPr>
                <w:ilvl w:val="0"/>
                <w:numId w:val="7"/>
              </w:numPr>
              <w:spacing w:after="0" w:line="240" w:lineRule="auto"/>
              <w:jc w:val="both"/>
              <w:rPr>
                <w:rFonts w:ascii="Times New Roman" w:hAnsi="Times New Roman" w:eastAsia="等线" w:cs="Times New Roman"/>
                <w:bCs/>
                <w:color w:val="000000" w:themeColor="text1"/>
                <w:sz w:val="20"/>
                <w:szCs w:val="20"/>
                <w:lang w:val="en-GB" w:eastAsia="zh-CN"/>
                <w14:textFill>
                  <w14:solidFill>
                    <w14:schemeClr w14:val="tx1"/>
                  </w14:solidFill>
                </w14:textFill>
              </w:rPr>
            </w:pPr>
            <w:r>
              <w:rPr>
                <w:rFonts w:ascii="Times New Roman" w:hAnsi="Times New Roman" w:eastAsia="等线" w:cs="Times New Roman"/>
                <w:bCs/>
                <w:color w:val="000000" w:themeColor="text1"/>
                <w:sz w:val="20"/>
                <w:szCs w:val="20"/>
                <w:lang w:val="en-GB" w:eastAsia="zh-CN"/>
                <w14:textFill>
                  <w14:solidFill>
                    <w14:schemeClr w14:val="tx1"/>
                  </w14:solidFill>
                </w14:textFill>
              </w:rPr>
              <w:t xml:space="preserve">When </w:t>
            </w:r>
            <w:r>
              <w:rPr>
                <w:rFonts w:ascii="Times" w:hAnsi="Times" w:eastAsia="宋体" w:cs="Times New Roman"/>
                <w:bCs/>
                <w:color w:val="000000" w:themeColor="text1"/>
                <w:sz w:val="20"/>
                <w:szCs w:val="20"/>
                <w:lang w:val="en-GB" w:eastAsia="en-US"/>
                <w14:textFill>
                  <w14:solidFill>
                    <w14:schemeClr w14:val="tx1"/>
                  </w14:solidFill>
                </w14:textFill>
              </w:rPr>
              <w:t>jointly triggered, the delay offset value to be compensated is the reported delay offset (DO) in the same reporting instance</w:t>
            </w:r>
          </w:p>
          <w:p w14:paraId="7DDEEE6D">
            <w:pPr>
              <w:widowControl w:val="0"/>
              <w:spacing w:after="0" w:line="240" w:lineRule="auto"/>
              <w:jc w:val="both"/>
              <w:rPr>
                <w:rFonts w:ascii="Times New Roman" w:hAnsi="Times New Roman" w:eastAsia="等线" w:cs="Times New Roman"/>
                <w:bCs/>
                <w:color w:val="000000" w:themeColor="text1"/>
                <w:sz w:val="20"/>
                <w:szCs w:val="20"/>
                <w:lang w:val="en-GB" w:eastAsia="zh-CN"/>
                <w14:textFill>
                  <w14:solidFill>
                    <w14:schemeClr w14:val="tx1"/>
                  </w14:solidFill>
                </w14:textFill>
              </w:rPr>
            </w:pPr>
            <w:r>
              <w:rPr>
                <w:rFonts w:ascii="Times New Roman" w:hAnsi="Times New Roman" w:eastAsia="等线" w:cs="Times New Roman"/>
                <w:bCs/>
                <w:color w:val="000000" w:themeColor="text1"/>
                <w:sz w:val="20"/>
                <w:szCs w:val="20"/>
                <w:lang w:val="en-GB" w:eastAsia="zh-CN"/>
                <w14:textFill>
                  <w14:solidFill>
                    <w14:schemeClr w14:val="tx1"/>
                  </w14:solidFill>
                </w14:textFill>
              </w:rPr>
              <w:t>FFS: Whether an additional UE procedure is needed when the reported DO value is ‘out of range’</w:t>
            </w:r>
          </w:p>
          <w:p w14:paraId="075892DB">
            <w:pPr>
              <w:widowControl w:val="0"/>
              <w:spacing w:after="0" w:line="240" w:lineRule="auto"/>
              <w:jc w:val="both"/>
              <w:rPr>
                <w:rFonts w:ascii="Times New Roman" w:hAnsi="Times New Roman" w:eastAsia="等线" w:cs="Times New Roman"/>
                <w:bCs/>
                <w:color w:val="000000" w:themeColor="text1"/>
                <w:sz w:val="20"/>
                <w:szCs w:val="20"/>
                <w:lang w:val="en-GB" w:eastAsia="zh-CN"/>
                <w14:textFill>
                  <w14:solidFill>
                    <w14:schemeClr w14:val="tx1"/>
                  </w14:solidFill>
                </w14:textFill>
              </w:rPr>
            </w:pPr>
            <w:r>
              <w:rPr>
                <w:rFonts w:ascii="Times New Roman" w:hAnsi="Times New Roman" w:eastAsia="等线" w:cs="Times New Roman"/>
                <w:bCs/>
                <w:color w:val="000000" w:themeColor="text1"/>
                <w:sz w:val="20"/>
                <w:szCs w:val="20"/>
                <w:lang w:val="en-GB" w:eastAsia="zh-CN"/>
                <w14:textFill>
                  <w14:solidFill>
                    <w14:schemeClr w14:val="tx1"/>
                  </w14:solidFill>
                </w14:textFill>
              </w:rPr>
              <w:t>[FFS: Whether the Dd report codepoints need to be reinterpreted from intervals/ranges to values when the linkage mechanism is configured]</w:t>
            </w:r>
          </w:p>
          <w:p w14:paraId="46150DE3">
            <w:pPr>
              <w:widowControl w:val="0"/>
              <w:rPr>
                <w:rFonts w:hint="eastAsia" w:eastAsia="宋体" w:cs="Times"/>
                <w:lang w:val="en-GB" w:eastAsia="zh-CN"/>
              </w:rPr>
            </w:pPr>
          </w:p>
        </w:tc>
      </w:tr>
    </w:tbl>
    <w:p w14:paraId="4185C807">
      <w:pPr>
        <w:pStyle w:val="90"/>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b w:val="0"/>
          <w:bCs w:val="0"/>
          <w:szCs w:val="20"/>
          <w:lang w:val="en-US" w:eastAsia="zh-CN"/>
        </w:rPr>
      </w:pPr>
      <w:r>
        <w:rPr>
          <w:rFonts w:hint="eastAsia"/>
          <w:b w:val="0"/>
          <w:bCs w:val="0"/>
          <w:szCs w:val="20"/>
          <w:lang w:val="en-US" w:eastAsia="zh-CN"/>
        </w:rPr>
        <w:t xml:space="preserve">Based on the offline email discussion, when linking </w:t>
      </w:r>
      <w:r>
        <w:rPr>
          <w:rFonts w:hint="default"/>
          <w:b w:val="0"/>
          <w:bCs w:val="0"/>
          <w:szCs w:val="20"/>
          <w:lang w:val="en-US" w:eastAsia="zh-CN"/>
        </w:rPr>
        <w:t>‘</w:t>
      </w:r>
      <w:r>
        <w:rPr>
          <w:rFonts w:hint="eastAsia"/>
          <w:b w:val="0"/>
          <w:bCs w:val="0"/>
          <w:szCs w:val="20"/>
          <w:lang w:val="en-US" w:eastAsia="zh-CN"/>
        </w:rPr>
        <w:t>cjtc Dd</w:t>
      </w:r>
      <w:r>
        <w:rPr>
          <w:rFonts w:hint="default"/>
          <w:b w:val="0"/>
          <w:bCs w:val="0"/>
          <w:szCs w:val="20"/>
          <w:lang w:val="en-US" w:eastAsia="zh-CN"/>
        </w:rPr>
        <w:t>’</w:t>
      </w:r>
      <w:r>
        <w:rPr>
          <w:rFonts w:hint="eastAsia"/>
          <w:b w:val="0"/>
          <w:bCs w:val="0"/>
          <w:szCs w:val="20"/>
          <w:lang w:val="en-US" w:eastAsia="zh-CN"/>
        </w:rPr>
        <w:t xml:space="preserve"> and Rel-18 eType-II CJT CSI reports is configured, if the DO value is "out of range," for the separately triggered WA, the gNB cannot configure the CMR for this TRP. Even if the CMR is configured for the TRP with an "out of range" DO value, </w:t>
      </w:r>
      <w:bookmarkStart w:id="9" w:name="OLE_LINK7"/>
      <w:r>
        <w:rPr>
          <w:rFonts w:hint="eastAsia"/>
          <w:b w:val="0"/>
          <w:bCs w:val="0"/>
          <w:szCs w:val="20"/>
          <w:lang w:val="en-US" w:eastAsia="zh-CN"/>
        </w:rPr>
        <w:t>based on the existing spec, the UE does not have to report the CSI for the TRP with an "out of range" DO.</w:t>
      </w:r>
      <w:bookmarkEnd w:id="9"/>
      <w:r>
        <w:rPr>
          <w:rFonts w:hint="eastAsia"/>
          <w:b w:val="0"/>
          <w:bCs w:val="0"/>
          <w:szCs w:val="20"/>
          <w:lang w:val="en-US" w:eastAsia="zh-CN"/>
        </w:rPr>
        <w:t xml:space="preserve"> For the jointly triggered WA, if the DO value is "out of range" for one TRP, according to the existing spec, the UE does not have to report CSI for this TRP. Therefore, we believe there is no need for an additional UE procedure when the reported DO value is "out of range."</w:t>
      </w:r>
    </w:p>
    <w:p w14:paraId="63A63CC0">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szCs w:val="20"/>
          <w:lang w:val="en-US" w:eastAsia="zh-CN"/>
        </w:rPr>
      </w:pPr>
      <w:r>
        <w:rPr>
          <w:rFonts w:hint="eastAsia" w:eastAsia="宋体" w:cs="Times New Roman"/>
          <w:i/>
          <w:iCs w:val="0"/>
          <w:sz w:val="22"/>
          <w:szCs w:val="22"/>
          <w:lang w:val="en-US" w:eastAsia="zh-CN"/>
        </w:rPr>
        <w:t>:</w:t>
      </w:r>
      <w:bookmarkStart w:id="10" w:name="OLE_LINK8"/>
      <w:r>
        <w:rPr>
          <w:rFonts w:hint="eastAsia" w:eastAsia="宋体" w:cs="Times New Roman"/>
          <w:i/>
          <w:iCs w:val="0"/>
          <w:sz w:val="22"/>
          <w:szCs w:val="22"/>
          <w:lang w:val="en-US" w:eastAsia="zh-CN"/>
        </w:rPr>
        <w:t xml:space="preserve"> </w:t>
      </w:r>
      <w:r>
        <w:rPr>
          <w:rFonts w:hint="eastAsia" w:cs="Times New Roman"/>
          <w:i/>
          <w:iCs w:val="0"/>
          <w:sz w:val="22"/>
          <w:szCs w:val="22"/>
          <w:lang w:val="en-US" w:eastAsia="zh-CN"/>
        </w:rPr>
        <w:t xml:space="preserve">When linking </w:t>
      </w:r>
      <w:r>
        <w:rPr>
          <w:rFonts w:hint="default" w:cs="Times New Roman"/>
          <w:i/>
          <w:iCs w:val="0"/>
          <w:sz w:val="22"/>
          <w:szCs w:val="22"/>
          <w:lang w:val="en-US" w:eastAsia="zh-CN"/>
        </w:rPr>
        <w:t>‘</w:t>
      </w:r>
      <w:r>
        <w:rPr>
          <w:rFonts w:hint="eastAsia" w:cs="Times New Roman"/>
          <w:i/>
          <w:iCs w:val="0"/>
          <w:sz w:val="22"/>
          <w:szCs w:val="22"/>
          <w:lang w:val="en-US" w:eastAsia="zh-CN"/>
        </w:rPr>
        <w:t>cjtc-Dd</w:t>
      </w:r>
      <w:r>
        <w:rPr>
          <w:rFonts w:hint="default" w:cs="Times New Roman"/>
          <w:i/>
          <w:iCs w:val="0"/>
          <w:sz w:val="22"/>
          <w:szCs w:val="22"/>
          <w:lang w:val="en-US" w:eastAsia="zh-CN"/>
        </w:rPr>
        <w:t>’</w:t>
      </w:r>
      <w:r>
        <w:rPr>
          <w:rFonts w:hint="eastAsia" w:cs="Times New Roman"/>
          <w:i/>
          <w:iCs w:val="0"/>
          <w:sz w:val="22"/>
          <w:szCs w:val="22"/>
          <w:lang w:val="en-US" w:eastAsia="zh-CN"/>
        </w:rPr>
        <w:t xml:space="preserve"> and Rel-18 eType-II CJT CSI reports is configured, if the reported DO value is </w:t>
      </w:r>
      <w:r>
        <w:rPr>
          <w:rFonts w:hint="default" w:cs="Times New Roman"/>
          <w:i/>
          <w:iCs w:val="0"/>
          <w:sz w:val="22"/>
          <w:szCs w:val="22"/>
          <w:lang w:val="en-US" w:eastAsia="zh-CN"/>
        </w:rPr>
        <w:t>“</w:t>
      </w:r>
      <w:r>
        <w:rPr>
          <w:rFonts w:hint="eastAsia" w:cs="Times New Roman"/>
          <w:i/>
          <w:iCs w:val="0"/>
          <w:sz w:val="22"/>
          <w:szCs w:val="22"/>
          <w:lang w:val="en-US" w:eastAsia="zh-CN"/>
        </w:rPr>
        <w:t>out of range</w:t>
      </w:r>
      <w:r>
        <w:rPr>
          <w:rFonts w:hint="default" w:cs="Times New Roman"/>
          <w:i/>
          <w:iCs w:val="0"/>
          <w:sz w:val="22"/>
          <w:szCs w:val="22"/>
          <w:lang w:val="en-US" w:eastAsia="zh-CN"/>
        </w:rPr>
        <w:t>”</w:t>
      </w:r>
      <w:r>
        <w:rPr>
          <w:rFonts w:hint="eastAsia" w:cs="Times New Roman"/>
          <w:i/>
          <w:iCs w:val="0"/>
          <w:sz w:val="22"/>
          <w:szCs w:val="22"/>
          <w:lang w:val="en-US" w:eastAsia="zh-CN"/>
        </w:rPr>
        <w:t xml:space="preserve"> no additional UE procedure is needed. </w:t>
      </w:r>
      <w:bookmarkEnd w:id="10"/>
    </w:p>
    <w:p w14:paraId="1197939B">
      <w:pPr>
        <w:pStyle w:val="90"/>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b w:val="0"/>
          <w:bCs w:val="0"/>
          <w:szCs w:val="20"/>
          <w:lang w:val="en-US" w:eastAsia="zh-CN"/>
        </w:rPr>
      </w:pPr>
    </w:p>
    <w:p w14:paraId="28EE293C">
      <w:pPr>
        <w:rPr>
          <w:rFonts w:hint="eastAsia"/>
          <w:kern w:val="2"/>
          <w:lang w:val="en-US" w:eastAsia="zh-CN"/>
        </w:rPr>
      </w:pPr>
    </w:p>
    <w:p w14:paraId="420212C7">
      <w:pPr>
        <w:rPr>
          <w:rFonts w:hint="eastAsia"/>
          <w:b/>
          <w:i/>
          <w:lang w:val="en-US" w:eastAsia="zh-CN"/>
        </w:rPr>
      </w:pPr>
    </w:p>
    <w:p w14:paraId="21BC80DE">
      <w:pPr>
        <w:rPr>
          <w:b/>
          <w:i/>
          <w:lang w:eastAsia="zh-CN"/>
        </w:rPr>
      </w:pPr>
    </w:p>
    <w:p w14:paraId="5C8B0761">
      <w:pPr>
        <w:pStyle w:val="2"/>
      </w:pPr>
      <w:r>
        <w:t>Conclusions</w:t>
      </w:r>
    </w:p>
    <w:p w14:paraId="4A4F5AE2">
      <w:pPr>
        <w:rPr>
          <w:rFonts w:hint="eastAsia" w:eastAsia="宋体"/>
          <w:lang w:eastAsia="zh-CN"/>
        </w:rPr>
      </w:pPr>
      <w:r>
        <w:rPr>
          <w:kern w:val="2"/>
          <w:lang w:val="en-GB" w:eastAsia="zh-CN"/>
        </w:rPr>
        <w:t xml:space="preserve">This contribution provides our views on </w:t>
      </w:r>
      <w:r>
        <w:rPr>
          <w:rFonts w:hint="eastAsia"/>
          <w:lang w:val="en-US" w:eastAsia="zh-CN"/>
        </w:rPr>
        <w:t>UE reporting refinement for CJT</w:t>
      </w:r>
      <w:r>
        <w:t xml:space="preserve">. We have following </w:t>
      </w:r>
      <w:r>
        <w:rPr>
          <w:rFonts w:hint="eastAsia"/>
          <w:lang w:val="en-US" w:eastAsia="zh-CN"/>
        </w:rPr>
        <w:t xml:space="preserve">observation and </w:t>
      </w:r>
      <w:r>
        <w:t>proposals.</w:t>
      </w:r>
      <w:r>
        <w:rPr>
          <w:rFonts w:hint="eastAsia"/>
          <w:lang w:val="en-US" w:eastAsia="zh-CN"/>
        </w:rPr>
        <w:t xml:space="preserve"> </w:t>
      </w:r>
    </w:p>
    <w:p w14:paraId="04E17094">
      <w:pPr>
        <w:pStyle w:val="91"/>
        <w:keepNext w:val="0"/>
        <w:keepLines w:val="0"/>
        <w:pageBreakBefore w:val="0"/>
        <w:widowControl/>
        <w:numPr>
          <w:ilvl w:val="0"/>
          <w:numId w:val="8"/>
        </w:numPr>
        <w:kinsoku/>
        <w:wordWrap/>
        <w:overflowPunct/>
        <w:topLinePunct w:val="0"/>
        <w:autoSpaceDE/>
        <w:autoSpaceDN/>
        <w:bidi w:val="0"/>
        <w:adjustRightInd/>
        <w:snapToGrid/>
        <w:ind w:left="420" w:hanging="420"/>
        <w:textAlignment w:val="auto"/>
        <w:rPr>
          <w:rFonts w:hint="default"/>
          <w:szCs w:val="20"/>
          <w:lang w:val="en-US" w:eastAsia="zh-CN"/>
        </w:rPr>
      </w:pPr>
      <w:r>
        <w:rPr>
          <w:rFonts w:hint="eastAsia" w:eastAsia="宋体" w:cs="Times New Roman"/>
          <w:i/>
          <w:iCs w:val="0"/>
          <w:sz w:val="22"/>
          <w:szCs w:val="22"/>
          <w:lang w:val="en-US" w:eastAsia="zh-CN"/>
        </w:rPr>
        <w:t xml:space="preserve">The time offset restriction between SRS occasion and the CSI-RS occassion can be realized by gNB implementation. </w:t>
      </w:r>
    </w:p>
    <w:p w14:paraId="48B4052F">
      <w:pPr>
        <w:pStyle w:val="9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szCs w:val="20"/>
          <w:lang w:val="en-US" w:eastAsia="zh-CN"/>
        </w:rPr>
      </w:pPr>
    </w:p>
    <w:p w14:paraId="233760D2">
      <w:pPr>
        <w:pStyle w:val="90"/>
        <w:keepNext w:val="0"/>
        <w:keepLines w:val="0"/>
        <w:pageBreakBefore w:val="0"/>
        <w:widowControl/>
        <w:numPr>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eastAsia="Malgun Gothic" w:cs="Times New Roman"/>
          <w:sz w:val="22"/>
          <w:szCs w:val="22"/>
          <w:lang w:val="en-GB" w:eastAsia="en-US"/>
        </w:rPr>
      </w:pPr>
      <w:r>
        <w:rPr>
          <w:rFonts w:hint="eastAsia"/>
          <w:sz w:val="22"/>
          <w:szCs w:val="22"/>
          <w:lang w:val="en-US" w:eastAsia="zh-CN"/>
        </w:rPr>
        <w:t xml:space="preserve"> </w:t>
      </w:r>
      <w:r>
        <w:rPr>
          <w:rFonts w:hint="eastAsia" w:eastAsia="宋体"/>
          <w:b/>
          <w:i/>
          <w:sz w:val="22"/>
          <w:szCs w:val="22"/>
          <w:highlight w:val="none"/>
          <w:lang w:val="en-US" w:eastAsia="zh-CN"/>
        </w:rPr>
        <w:t xml:space="preserve">: </w:t>
      </w:r>
      <w:r>
        <w:rPr>
          <w:rFonts w:hint="eastAsia"/>
          <w:b/>
          <w:i/>
          <w:sz w:val="22"/>
          <w:szCs w:val="22"/>
          <w:highlight w:val="none"/>
          <w:lang w:val="en-US" w:eastAsia="zh-CN"/>
        </w:rPr>
        <w:t>For the SP-SRS or P-SRS measurement</w:t>
      </w:r>
      <w:r>
        <w:rPr>
          <w:rFonts w:hint="eastAsia"/>
          <w:b/>
          <w:i/>
          <w:iCs w:val="0"/>
          <w:sz w:val="22"/>
          <w:szCs w:val="22"/>
          <w:highlight w:val="none"/>
          <w:lang w:val="en-US" w:eastAsia="zh-CN"/>
        </w:rPr>
        <w:t xml:space="preserve">, not support </w:t>
      </w:r>
      <w:r>
        <w:rPr>
          <w:rFonts w:ascii="Times New Roman" w:hAnsi="Times New Roman" w:eastAsia="Malgun Gothic" w:cs="Times New Roman"/>
          <w:i/>
          <w:iCs w:val="0"/>
          <w:sz w:val="22"/>
          <w:szCs w:val="22"/>
          <w:lang w:val="en-GB" w:eastAsia="en-US"/>
        </w:rPr>
        <w:t xml:space="preserve">the SRS transmission occasion for determining the reference UE antenna port corresponds to the </w:t>
      </w:r>
      <w:r>
        <w:rPr>
          <w:rFonts w:hint="eastAsia" w:eastAsia="宋体" w:cs="Times New Roman"/>
          <w:i/>
          <w:iCs w:val="0"/>
          <w:sz w:val="22"/>
          <w:szCs w:val="22"/>
          <w:lang w:val="en-US" w:eastAsia="zh-CN"/>
        </w:rPr>
        <w:t xml:space="preserve">earliest </w:t>
      </w:r>
      <w:r>
        <w:rPr>
          <w:rFonts w:ascii="Times New Roman" w:hAnsi="Times New Roman" w:eastAsia="Malgun Gothic" w:cs="Times New Roman"/>
          <w:i/>
          <w:iCs w:val="0"/>
          <w:sz w:val="22"/>
          <w:szCs w:val="22"/>
          <w:lang w:val="en-GB" w:eastAsia="en-US"/>
        </w:rPr>
        <w:t xml:space="preserve">SRS transmission occasion </w:t>
      </w:r>
      <w:r>
        <w:rPr>
          <w:rFonts w:hint="eastAsia" w:eastAsia="宋体" w:cs="Times New Roman"/>
          <w:i/>
          <w:iCs w:val="0"/>
          <w:sz w:val="22"/>
          <w:szCs w:val="22"/>
          <w:lang w:val="en-US" w:eastAsia="zh-CN"/>
        </w:rPr>
        <w:t>after</w:t>
      </w:r>
      <w:r>
        <w:rPr>
          <w:rFonts w:ascii="Times New Roman" w:hAnsi="Times New Roman" w:eastAsia="Malgun Gothic" w:cs="Times New Roman"/>
          <w:i/>
          <w:iCs w:val="0"/>
          <w:sz w:val="22"/>
          <w:szCs w:val="22"/>
          <w:lang w:val="en-GB" w:eastAsia="en-US"/>
        </w:rPr>
        <w:t xml:space="preserve"> the N</w:t>
      </w:r>
      <w:r>
        <w:rPr>
          <w:rFonts w:ascii="Times New Roman" w:hAnsi="Times New Roman" w:eastAsia="Malgun Gothic" w:cs="Times New Roman"/>
          <w:i/>
          <w:iCs w:val="0"/>
          <w:sz w:val="22"/>
          <w:szCs w:val="22"/>
          <w:vertAlign w:val="subscript"/>
          <w:lang w:val="en-GB" w:eastAsia="en-US"/>
        </w:rPr>
        <w:t>TRP</w:t>
      </w:r>
      <w:r>
        <w:rPr>
          <w:rFonts w:ascii="Times New Roman" w:hAnsi="Times New Roman" w:eastAsia="Malgun Gothic" w:cs="Times New Roman"/>
          <w:i/>
          <w:iCs w:val="0"/>
          <w:sz w:val="22"/>
          <w:szCs w:val="22"/>
          <w:lang w:val="en-GB" w:eastAsia="en-US"/>
        </w:rPr>
        <w:t xml:space="preserve"> CSI-RS occasions used for measuring ‘cjtc-P’ report</w:t>
      </w:r>
      <w:r>
        <w:rPr>
          <w:rFonts w:hint="eastAsia" w:eastAsia="宋体" w:cs="Times New Roman"/>
          <w:i/>
          <w:iCs w:val="0"/>
          <w:sz w:val="22"/>
          <w:szCs w:val="22"/>
          <w:lang w:val="en-US" w:eastAsia="zh-CN"/>
        </w:rPr>
        <w:t>.</w:t>
      </w:r>
    </w:p>
    <w:p w14:paraId="589FDEED">
      <w:pPr>
        <w:pStyle w:val="90"/>
        <w:keepNext w:val="0"/>
        <w:keepLines w:val="0"/>
        <w:pageBreakBefore w:val="0"/>
        <w:widowControl/>
        <w:numPr>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szCs w:val="20"/>
          <w:lang w:val="en-US" w:eastAsia="zh-CN"/>
        </w:rPr>
      </w:pPr>
      <w:r>
        <w:rPr>
          <w:rFonts w:hint="eastAsia" w:eastAsia="宋体" w:cs="Times New Roman"/>
          <w:i/>
          <w:iCs w:val="0"/>
          <w:sz w:val="22"/>
          <w:szCs w:val="22"/>
          <w:lang w:val="en-US" w:eastAsia="zh-CN"/>
        </w:rPr>
        <w:t>: For the AP-SRS resource, it is unnecessary to determ</w:t>
      </w:r>
      <w:r>
        <w:rPr>
          <w:rFonts w:hint="eastAsia" w:cs="Times New Roman"/>
          <w:i/>
          <w:iCs w:val="0"/>
          <w:sz w:val="22"/>
          <w:szCs w:val="22"/>
          <w:lang w:val="en-US" w:eastAsia="zh-CN"/>
        </w:rPr>
        <w:t>ine</w:t>
      </w:r>
      <w:r>
        <w:rPr>
          <w:rFonts w:hint="eastAsia" w:eastAsia="宋体" w:cs="Times New Roman"/>
          <w:i/>
          <w:iCs w:val="0"/>
          <w:sz w:val="22"/>
          <w:szCs w:val="22"/>
          <w:lang w:val="en-US" w:eastAsia="zh-CN"/>
        </w:rPr>
        <w:t xml:space="preserve"> </w:t>
      </w:r>
      <w:r>
        <w:rPr>
          <w:rFonts w:hint="eastAsia" w:cs="Times New Roman"/>
          <w:i/>
          <w:iCs w:val="0"/>
          <w:sz w:val="22"/>
          <w:szCs w:val="22"/>
          <w:lang w:val="en-US" w:eastAsia="zh-CN"/>
        </w:rPr>
        <w:t xml:space="preserve">the </w:t>
      </w:r>
      <w:r>
        <w:rPr>
          <w:rFonts w:hint="eastAsia" w:eastAsia="宋体" w:cs="Times New Roman"/>
          <w:i/>
          <w:iCs w:val="0"/>
          <w:sz w:val="22"/>
          <w:szCs w:val="22"/>
          <w:lang w:val="en-US" w:eastAsia="zh-CN"/>
        </w:rPr>
        <w:t>SRS transmission occassion.</w:t>
      </w:r>
    </w:p>
    <w:p w14:paraId="421E2F2C">
      <w:pPr>
        <w:pStyle w:val="90"/>
        <w:keepNext w:val="0"/>
        <w:keepLines w:val="0"/>
        <w:pageBreakBefore w:val="0"/>
        <w:widowControl/>
        <w:numPr>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szCs w:val="20"/>
          <w:lang w:val="en-US" w:eastAsia="zh-CN"/>
        </w:rPr>
      </w:pPr>
      <w:r>
        <w:rPr>
          <w:rFonts w:hint="eastAsia" w:eastAsia="宋体" w:cs="Times New Roman"/>
          <w:i/>
          <w:iCs w:val="0"/>
          <w:sz w:val="22"/>
          <w:szCs w:val="22"/>
          <w:lang w:val="en-US" w:eastAsia="zh-CN"/>
        </w:rPr>
        <w:t xml:space="preserve">: </w:t>
      </w:r>
      <w:r>
        <w:rPr>
          <w:rFonts w:hint="eastAsia" w:cs="Times New Roman"/>
          <w:i/>
          <w:iCs w:val="0"/>
          <w:sz w:val="22"/>
          <w:szCs w:val="22"/>
          <w:lang w:val="en-US" w:eastAsia="zh-CN"/>
        </w:rPr>
        <w:t xml:space="preserve">When linking </w:t>
      </w:r>
      <w:r>
        <w:rPr>
          <w:rFonts w:hint="default" w:cs="Times New Roman"/>
          <w:i/>
          <w:iCs w:val="0"/>
          <w:sz w:val="22"/>
          <w:szCs w:val="22"/>
          <w:lang w:val="en-US" w:eastAsia="zh-CN"/>
        </w:rPr>
        <w:t>‘</w:t>
      </w:r>
      <w:r>
        <w:rPr>
          <w:rFonts w:hint="eastAsia" w:cs="Times New Roman"/>
          <w:i/>
          <w:iCs w:val="0"/>
          <w:sz w:val="22"/>
          <w:szCs w:val="22"/>
          <w:lang w:val="en-US" w:eastAsia="zh-CN"/>
        </w:rPr>
        <w:t>cjtc-Dd</w:t>
      </w:r>
      <w:r>
        <w:rPr>
          <w:rFonts w:hint="default" w:cs="Times New Roman"/>
          <w:i/>
          <w:iCs w:val="0"/>
          <w:sz w:val="22"/>
          <w:szCs w:val="22"/>
          <w:lang w:val="en-US" w:eastAsia="zh-CN"/>
        </w:rPr>
        <w:t>’</w:t>
      </w:r>
      <w:r>
        <w:rPr>
          <w:rFonts w:hint="eastAsia" w:cs="Times New Roman"/>
          <w:i/>
          <w:iCs w:val="0"/>
          <w:sz w:val="22"/>
          <w:szCs w:val="22"/>
          <w:lang w:val="en-US" w:eastAsia="zh-CN"/>
        </w:rPr>
        <w:t xml:space="preserve"> and Rel-18 eType-II CJT CSI reports is configured, if the reported DO value is </w:t>
      </w:r>
      <w:r>
        <w:rPr>
          <w:rFonts w:hint="default" w:cs="Times New Roman"/>
          <w:i/>
          <w:iCs w:val="0"/>
          <w:sz w:val="22"/>
          <w:szCs w:val="22"/>
          <w:lang w:val="en-US" w:eastAsia="zh-CN"/>
        </w:rPr>
        <w:t>“</w:t>
      </w:r>
      <w:r>
        <w:rPr>
          <w:rFonts w:hint="eastAsia" w:cs="Times New Roman"/>
          <w:i/>
          <w:iCs w:val="0"/>
          <w:sz w:val="22"/>
          <w:szCs w:val="22"/>
          <w:lang w:val="en-US" w:eastAsia="zh-CN"/>
        </w:rPr>
        <w:t>out of range</w:t>
      </w:r>
      <w:r>
        <w:rPr>
          <w:rFonts w:hint="default" w:cs="Times New Roman"/>
          <w:i/>
          <w:iCs w:val="0"/>
          <w:sz w:val="22"/>
          <w:szCs w:val="22"/>
          <w:lang w:val="en-US" w:eastAsia="zh-CN"/>
        </w:rPr>
        <w:t>”</w:t>
      </w:r>
      <w:r>
        <w:rPr>
          <w:rFonts w:hint="eastAsia" w:cs="Times New Roman"/>
          <w:i/>
          <w:iCs w:val="0"/>
          <w:sz w:val="22"/>
          <w:szCs w:val="22"/>
          <w:lang w:val="en-US" w:eastAsia="zh-CN"/>
        </w:rPr>
        <w:t xml:space="preserve"> no additional UE procedure is needed. </w:t>
      </w:r>
    </w:p>
    <w:p w14:paraId="33528FF8">
      <w:pPr>
        <w:pStyle w:val="9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szCs w:val="20"/>
          <w:lang w:val="en-US" w:eastAsia="zh-CN"/>
        </w:rPr>
      </w:pPr>
    </w:p>
    <w:p w14:paraId="236AFA16">
      <w:pPr>
        <w:pStyle w:val="2"/>
        <w:numPr>
          <w:ilvl w:val="0"/>
          <w:numId w:val="0"/>
        </w:numPr>
        <w:ind w:left="432" w:hanging="432"/>
      </w:pPr>
      <w:bookmarkStart w:id="11" w:name="_Ref124589665"/>
      <w:bookmarkStart w:id="12" w:name="_Ref124671424"/>
      <w:bookmarkStart w:id="13" w:name="_Ref71620620"/>
      <w:r>
        <w:t>References</w:t>
      </w:r>
    </w:p>
    <w:bookmarkEnd w:id="11"/>
    <w:bookmarkEnd w:id="12"/>
    <w:bookmarkEnd w:id="13"/>
    <w:p w14:paraId="34B26F53">
      <w:pPr>
        <w:rPr>
          <w:rFonts w:hint="default" w:eastAsiaTheme="minorEastAsia"/>
          <w:lang w:val="en-US" w:eastAsia="zh-CN"/>
        </w:rPr>
      </w:pPr>
      <w:r>
        <w:rPr>
          <w:rFonts w:hint="eastAsia"/>
          <w:kern w:val="2"/>
          <w:lang w:val="en-GB" w:eastAsia="zh-CN"/>
        </w:rPr>
        <w:t>[</w:t>
      </w:r>
      <w:r>
        <w:rPr>
          <w:kern w:val="2"/>
          <w:lang w:val="en-GB" w:eastAsia="zh-CN"/>
        </w:rPr>
        <w:t xml:space="preserve">1] </w:t>
      </w:r>
      <w:r>
        <w:rPr>
          <w:rFonts w:eastAsiaTheme="minorEastAsia"/>
          <w:lang w:val="en-GB" w:eastAsia="zh-CN"/>
        </w:rPr>
        <w:t>RAN1, Chair’s Notes RAN1#11</w:t>
      </w:r>
      <w:r>
        <w:rPr>
          <w:rFonts w:hint="eastAsia" w:eastAsiaTheme="minorEastAsia"/>
          <w:lang w:val="en-US" w:eastAsia="zh-CN"/>
        </w:rPr>
        <w:t>8</w:t>
      </w:r>
      <w:r>
        <w:rPr>
          <w:rFonts w:eastAsiaTheme="minorEastAsia"/>
          <w:lang w:val="en-GB" w:eastAsia="zh-CN"/>
        </w:rPr>
        <w:t xml:space="preserve">, </w:t>
      </w:r>
      <w:r>
        <w:rPr>
          <w:rFonts w:hint="eastAsia" w:eastAsiaTheme="minorEastAsia"/>
          <w:lang w:val="en-US" w:eastAsia="zh-CN"/>
        </w:rPr>
        <w:t>Aug 19</w:t>
      </w:r>
      <w:r>
        <w:rPr>
          <w:rFonts w:eastAsiaTheme="minorEastAsia"/>
          <w:lang w:val="en-GB" w:eastAsia="zh-CN"/>
        </w:rPr>
        <w:t xml:space="preserve"> – 2</w:t>
      </w:r>
      <w:r>
        <w:rPr>
          <w:rFonts w:hint="eastAsia" w:eastAsiaTheme="minorEastAsia"/>
          <w:lang w:val="en-US" w:eastAsia="zh-CN"/>
        </w:rPr>
        <w:t>3</w:t>
      </w:r>
      <w:r>
        <w:rPr>
          <w:rFonts w:eastAsiaTheme="minorEastAsia"/>
          <w:lang w:val="en-GB" w:eastAsia="zh-CN"/>
        </w:rPr>
        <w:t>, 202</w:t>
      </w:r>
      <w:r>
        <w:rPr>
          <w:rFonts w:hint="eastAsia" w:eastAsiaTheme="minorEastAsia"/>
          <w:lang w:val="en-US" w:eastAsia="zh-CN"/>
        </w:rPr>
        <w:t>4</w:t>
      </w:r>
    </w:p>
    <w:bookmarkEnd w:id="2"/>
    <w:p w14:paraId="3A8238E2">
      <w:pPr>
        <w:rPr>
          <w:lang w:val="en-GB"/>
        </w:rPr>
      </w:pPr>
    </w:p>
    <w:p w14:paraId="562F9EF1">
      <w:pPr>
        <w:rPr>
          <w:lang w:val="en-GB"/>
        </w:rPr>
      </w:pPr>
    </w:p>
    <w:p w14:paraId="12DCB7F6">
      <w:pPr>
        <w:rPr>
          <w:lang w:val="en-GB"/>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90"/>
      <w:suff w:val="space"/>
      <w:lvlText w:val="Proposal %1"/>
      <w:lvlJc w:val="left"/>
      <w:pPr>
        <w:ind w:left="1744" w:hanging="1304"/>
      </w:pPr>
      <w:rPr>
        <w:rFonts w:hint="default"/>
        <w:sz w:val="22"/>
        <w:szCs w:val="22"/>
      </w:rPr>
    </w:lvl>
    <w:lvl w:ilvl="1" w:tentative="0">
      <w:start w:val="1"/>
      <w:numFmt w:val="lowerLetter"/>
      <w:lvlText w:val="%2."/>
      <w:lvlJc w:val="left"/>
      <w:pPr>
        <w:tabs>
          <w:tab w:val="left" w:pos="1440"/>
        </w:tabs>
        <w:ind w:left="1880" w:hanging="360"/>
      </w:pPr>
    </w:lvl>
    <w:lvl w:ilvl="2" w:tentative="0">
      <w:start w:val="1"/>
      <w:numFmt w:val="lowerRoman"/>
      <w:lvlText w:val="%3."/>
      <w:lvlJc w:val="right"/>
      <w:pPr>
        <w:tabs>
          <w:tab w:val="left" w:pos="2160"/>
        </w:tabs>
        <w:ind w:left="2600" w:hanging="180"/>
      </w:pPr>
    </w:lvl>
    <w:lvl w:ilvl="3" w:tentative="0">
      <w:start w:val="1"/>
      <w:numFmt w:val="decimal"/>
      <w:lvlText w:val="%4."/>
      <w:lvlJc w:val="left"/>
      <w:pPr>
        <w:tabs>
          <w:tab w:val="left" w:pos="2880"/>
        </w:tabs>
        <w:ind w:left="3320" w:hanging="360"/>
      </w:pPr>
    </w:lvl>
    <w:lvl w:ilvl="4" w:tentative="0">
      <w:start w:val="1"/>
      <w:numFmt w:val="lowerLetter"/>
      <w:lvlText w:val="%5."/>
      <w:lvlJc w:val="left"/>
      <w:pPr>
        <w:tabs>
          <w:tab w:val="left" w:pos="3600"/>
        </w:tabs>
        <w:ind w:left="4040" w:hanging="360"/>
      </w:pPr>
    </w:lvl>
    <w:lvl w:ilvl="5" w:tentative="0">
      <w:start w:val="1"/>
      <w:numFmt w:val="lowerRoman"/>
      <w:lvlText w:val="%6."/>
      <w:lvlJc w:val="right"/>
      <w:pPr>
        <w:tabs>
          <w:tab w:val="left" w:pos="4320"/>
        </w:tabs>
        <w:ind w:left="4760" w:hanging="180"/>
      </w:pPr>
    </w:lvl>
    <w:lvl w:ilvl="6" w:tentative="0">
      <w:start w:val="1"/>
      <w:numFmt w:val="decimal"/>
      <w:lvlText w:val="%7."/>
      <w:lvlJc w:val="left"/>
      <w:pPr>
        <w:tabs>
          <w:tab w:val="left" w:pos="5040"/>
        </w:tabs>
        <w:ind w:left="5480" w:hanging="360"/>
      </w:pPr>
    </w:lvl>
    <w:lvl w:ilvl="7" w:tentative="0">
      <w:start w:val="1"/>
      <w:numFmt w:val="lowerLetter"/>
      <w:lvlText w:val="%8."/>
      <w:lvlJc w:val="left"/>
      <w:pPr>
        <w:tabs>
          <w:tab w:val="left" w:pos="5760"/>
        </w:tabs>
        <w:ind w:left="6200" w:hanging="360"/>
      </w:pPr>
    </w:lvl>
    <w:lvl w:ilvl="8" w:tentative="0">
      <w:start w:val="1"/>
      <w:numFmt w:val="lowerRoman"/>
      <w:lvlText w:val="%9."/>
      <w:lvlJc w:val="right"/>
      <w:pPr>
        <w:tabs>
          <w:tab w:val="left" w:pos="6480"/>
        </w:tabs>
        <w:ind w:left="6920" w:hanging="180"/>
      </w:pPr>
    </w:lvl>
  </w:abstractNum>
  <w:abstractNum w:abstractNumId="1">
    <w:nsid w:val="01F2553B"/>
    <w:multiLevelType w:val="multilevel"/>
    <w:tmpl w:val="01F2553B"/>
    <w:lvl w:ilvl="0" w:tentative="0">
      <w:start w:val="1"/>
      <w:numFmt w:val="decimal"/>
      <w:pStyle w:val="6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26FF3B92"/>
    <w:multiLevelType w:val="multilevel"/>
    <w:tmpl w:val="26FF3B92"/>
    <w:lvl w:ilvl="0" w:tentative="0">
      <w:start w:val="1"/>
      <w:numFmt w:val="decimal"/>
      <w:pStyle w:val="91"/>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8A83227"/>
    <w:multiLevelType w:val="multilevel"/>
    <w:tmpl w:val="38A83227"/>
    <w:lvl w:ilvl="0" w:tentative="0">
      <w:start w:val="1"/>
      <w:numFmt w:val="bullet"/>
      <w:lvlText w:val="-"/>
      <w:lvlJc w:val="left"/>
      <w:pPr>
        <w:ind w:left="720" w:hanging="360"/>
      </w:pPr>
      <w:rPr>
        <w:rFonts w:hint="default" w:ascii="Calibri" w:hAnsi="Calibri" w:eastAsia="Malgun Gothic"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6">
    <w:nsid w:val="5E313F8C"/>
    <w:multiLevelType w:val="multilevel"/>
    <w:tmpl w:val="5E313F8C"/>
    <w:lvl w:ilvl="0" w:tentative="0">
      <w:start w:val="1"/>
      <w:numFmt w:val="bullet"/>
      <w:lvlText w:val="-"/>
      <w:lvlJc w:val="left"/>
      <w:pPr>
        <w:tabs>
          <w:tab w:val="left" w:pos="720"/>
        </w:tabs>
        <w:ind w:left="720" w:hanging="360"/>
      </w:pPr>
      <w:rPr>
        <w:rFonts w:hint="default" w:ascii="Times New Roman" w:hAnsi="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1"/>
  </w:num>
  <w:num w:numId="4">
    <w:abstractNumId w:val="0"/>
  </w:num>
  <w:num w:numId="5">
    <w:abstractNumId w:val="2"/>
  </w:num>
  <w:num w:numId="6">
    <w:abstractNumId w:val="6"/>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9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3C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F11666"/>
    <w:rsid w:val="033F3ED9"/>
    <w:rsid w:val="04082AD7"/>
    <w:rsid w:val="0B4E042A"/>
    <w:rsid w:val="0BC02AF8"/>
    <w:rsid w:val="0DC14423"/>
    <w:rsid w:val="0E856193"/>
    <w:rsid w:val="0EB21FBD"/>
    <w:rsid w:val="0EFD148A"/>
    <w:rsid w:val="0F1862C4"/>
    <w:rsid w:val="0FB939C9"/>
    <w:rsid w:val="0FD61908"/>
    <w:rsid w:val="121A1CC6"/>
    <w:rsid w:val="16755676"/>
    <w:rsid w:val="1780534F"/>
    <w:rsid w:val="19434886"/>
    <w:rsid w:val="1AFD2812"/>
    <w:rsid w:val="1B212B46"/>
    <w:rsid w:val="1C0F5A8D"/>
    <w:rsid w:val="1CED47A6"/>
    <w:rsid w:val="1D5E3A3C"/>
    <w:rsid w:val="1E6C1577"/>
    <w:rsid w:val="201F31B6"/>
    <w:rsid w:val="20C92CE4"/>
    <w:rsid w:val="24777D3C"/>
    <w:rsid w:val="24E44142"/>
    <w:rsid w:val="25050C41"/>
    <w:rsid w:val="25E346C9"/>
    <w:rsid w:val="2BB73493"/>
    <w:rsid w:val="2C7F779D"/>
    <w:rsid w:val="2DC225D3"/>
    <w:rsid w:val="2E7C6529"/>
    <w:rsid w:val="2E8F6C23"/>
    <w:rsid w:val="2FD17869"/>
    <w:rsid w:val="2FE63DAE"/>
    <w:rsid w:val="30202DD3"/>
    <w:rsid w:val="30C714A1"/>
    <w:rsid w:val="310B3146"/>
    <w:rsid w:val="31D67EE9"/>
    <w:rsid w:val="33721B98"/>
    <w:rsid w:val="37283234"/>
    <w:rsid w:val="39C541E9"/>
    <w:rsid w:val="3D2A116D"/>
    <w:rsid w:val="3E173A67"/>
    <w:rsid w:val="3F7D4F5C"/>
    <w:rsid w:val="407F60FD"/>
    <w:rsid w:val="457B39F8"/>
    <w:rsid w:val="4856518C"/>
    <w:rsid w:val="49C57706"/>
    <w:rsid w:val="4A9E7382"/>
    <w:rsid w:val="4C06511B"/>
    <w:rsid w:val="4D761E2D"/>
    <w:rsid w:val="4D8E7336"/>
    <w:rsid w:val="4E7B594C"/>
    <w:rsid w:val="50D415D0"/>
    <w:rsid w:val="51AA6DC2"/>
    <w:rsid w:val="52F469FC"/>
    <w:rsid w:val="54F26F78"/>
    <w:rsid w:val="55FD30EB"/>
    <w:rsid w:val="573945F7"/>
    <w:rsid w:val="57E22340"/>
    <w:rsid w:val="58873140"/>
    <w:rsid w:val="58B8154B"/>
    <w:rsid w:val="5A5B2AD6"/>
    <w:rsid w:val="5AEF0175"/>
    <w:rsid w:val="606704E8"/>
    <w:rsid w:val="61AA2053"/>
    <w:rsid w:val="64F13BAE"/>
    <w:rsid w:val="66B15F58"/>
    <w:rsid w:val="67954AC1"/>
    <w:rsid w:val="68060525"/>
    <w:rsid w:val="68A14D4D"/>
    <w:rsid w:val="68F25B3B"/>
    <w:rsid w:val="6AE40637"/>
    <w:rsid w:val="6DA419F4"/>
    <w:rsid w:val="6DBD3434"/>
    <w:rsid w:val="6DF93AB7"/>
    <w:rsid w:val="6EF23468"/>
    <w:rsid w:val="750E6C6B"/>
    <w:rsid w:val="76FC3DB3"/>
    <w:rsid w:val="77F9775E"/>
    <w:rsid w:val="786A065C"/>
    <w:rsid w:val="7B350CC3"/>
    <w:rsid w:val="7B5E24E1"/>
    <w:rsid w:val="7F743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2"/>
    <w:autoRedefine/>
    <w:qFormat/>
    <w:uiPriority w:val="0"/>
    <w:pPr>
      <w:keepNext/>
      <w:numPr>
        <w:ilvl w:val="0"/>
        <w:numId w:val="1"/>
      </w:numPr>
      <w:spacing w:before="120"/>
      <w:outlineLvl w:val="0"/>
    </w:pPr>
    <w:rPr>
      <w:b/>
      <w:bCs/>
      <w:sz w:val="28"/>
      <w:szCs w:val="28"/>
    </w:rPr>
  </w:style>
  <w:style w:type="paragraph" w:styleId="3">
    <w:name w:val="heading 2"/>
    <w:basedOn w:val="1"/>
    <w:next w:val="1"/>
    <w:link w:val="66"/>
    <w:qFormat/>
    <w:uiPriority w:val="0"/>
    <w:pPr>
      <w:keepNext/>
      <w:numPr>
        <w:ilvl w:val="1"/>
        <w:numId w:val="1"/>
      </w:numPr>
      <w:spacing w:before="120"/>
      <w:outlineLvl w:val="1"/>
    </w:pPr>
    <w:rPr>
      <w:b/>
      <w:bCs/>
      <w:sz w:val="24"/>
    </w:rPr>
  </w:style>
  <w:style w:type="paragraph" w:styleId="4">
    <w:name w:val="heading 3"/>
    <w:basedOn w:val="1"/>
    <w:next w:val="1"/>
    <w:link w:val="73"/>
    <w:autoRedefine/>
    <w:qFormat/>
    <w:uiPriority w:val="0"/>
    <w:pPr>
      <w:keepNext/>
      <w:numPr>
        <w:ilvl w:val="2"/>
        <w:numId w:val="1"/>
      </w:numPr>
      <w:spacing w:before="120"/>
      <w:outlineLvl w:val="2"/>
    </w:pPr>
    <w:rPr>
      <w:b/>
    </w:rPr>
  </w:style>
  <w:style w:type="paragraph" w:styleId="5">
    <w:name w:val="heading 4"/>
    <w:basedOn w:val="1"/>
    <w:next w:val="1"/>
    <w:link w:val="71"/>
    <w:autoRedefine/>
    <w:qFormat/>
    <w:uiPriority w:val="0"/>
    <w:pPr>
      <w:keepNext/>
      <w:numPr>
        <w:ilvl w:val="3"/>
        <w:numId w:val="1"/>
      </w:numPr>
      <w:spacing w:before="120"/>
      <w:outlineLvl w:val="3"/>
    </w:pPr>
    <w:rPr>
      <w:b/>
      <w:bCs/>
      <w:szCs w:val="28"/>
    </w:rPr>
  </w:style>
  <w:style w:type="paragraph" w:styleId="6">
    <w:name w:val="heading 5"/>
    <w:basedOn w:val="1"/>
    <w:next w:val="1"/>
    <w:link w:val="74"/>
    <w:autoRedefine/>
    <w:qFormat/>
    <w:uiPriority w:val="0"/>
    <w:pPr>
      <w:keepNext/>
      <w:numPr>
        <w:ilvl w:val="4"/>
        <w:numId w:val="1"/>
      </w:numPr>
      <w:spacing w:before="120"/>
      <w:outlineLvl w:val="4"/>
    </w:pPr>
    <w:rPr>
      <w:b/>
      <w:bCs/>
      <w:i/>
      <w:iCs/>
      <w:szCs w:val="26"/>
    </w:rPr>
  </w:style>
  <w:style w:type="paragraph" w:styleId="7">
    <w:name w:val="heading 6"/>
    <w:basedOn w:val="1"/>
    <w:next w:val="1"/>
    <w:link w:val="75"/>
    <w:autoRedefine/>
    <w:qFormat/>
    <w:uiPriority w:val="0"/>
    <w:pPr>
      <w:numPr>
        <w:ilvl w:val="5"/>
        <w:numId w:val="1"/>
      </w:numPr>
      <w:spacing w:before="240" w:after="60"/>
      <w:outlineLvl w:val="5"/>
    </w:pPr>
    <w:rPr>
      <w:b/>
      <w:bCs/>
    </w:rPr>
  </w:style>
  <w:style w:type="paragraph" w:styleId="8">
    <w:name w:val="heading 7"/>
    <w:basedOn w:val="1"/>
    <w:next w:val="1"/>
    <w:link w:val="76"/>
    <w:autoRedefine/>
    <w:qFormat/>
    <w:uiPriority w:val="0"/>
    <w:pPr>
      <w:numPr>
        <w:ilvl w:val="6"/>
        <w:numId w:val="1"/>
      </w:numPr>
      <w:spacing w:before="240" w:after="60"/>
      <w:outlineLvl w:val="6"/>
    </w:pPr>
    <w:rPr>
      <w:sz w:val="24"/>
      <w:szCs w:val="24"/>
    </w:rPr>
  </w:style>
  <w:style w:type="paragraph" w:styleId="9">
    <w:name w:val="heading 8"/>
    <w:basedOn w:val="1"/>
    <w:next w:val="1"/>
    <w:link w:val="77"/>
    <w:qFormat/>
    <w:uiPriority w:val="0"/>
    <w:pPr>
      <w:numPr>
        <w:ilvl w:val="7"/>
        <w:numId w:val="1"/>
      </w:numPr>
      <w:spacing w:before="240" w:after="60"/>
      <w:outlineLvl w:val="7"/>
    </w:pPr>
    <w:rPr>
      <w:i/>
      <w:iCs/>
      <w:sz w:val="24"/>
      <w:szCs w:val="24"/>
    </w:rPr>
  </w:style>
  <w:style w:type="paragraph" w:styleId="10">
    <w:name w:val="heading 9"/>
    <w:basedOn w:val="1"/>
    <w:next w:val="1"/>
    <w:link w:val="78"/>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4"/>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5"/>
    <w:unhideWhenUsed/>
    <w:qFormat/>
    <w:uiPriority w:val="99"/>
    <w:pPr>
      <w:jc w:val="left"/>
    </w:pPr>
  </w:style>
  <w:style w:type="paragraph" w:styleId="15">
    <w:name w:val="Body Text"/>
    <w:basedOn w:val="1"/>
    <w:link w:val="33"/>
    <w:autoRedefine/>
    <w:qFormat/>
    <w:uiPriority w:val="99"/>
    <w:rPr>
      <w:sz w:val="20"/>
      <w:szCs w:val="20"/>
    </w:rPr>
  </w:style>
  <w:style w:type="paragraph" w:styleId="16">
    <w:name w:val="Balloon Text"/>
    <w:basedOn w:val="1"/>
    <w:link w:val="80"/>
    <w:autoRedefine/>
    <w:semiHidden/>
    <w:qFormat/>
    <w:uiPriority w:val="99"/>
    <w:rPr>
      <w:rFonts w:ascii="Tahoma" w:hAnsi="Tahoma" w:cs="Tahoma"/>
      <w:sz w:val="16"/>
      <w:szCs w:val="16"/>
    </w:rPr>
  </w:style>
  <w:style w:type="paragraph" w:styleId="17">
    <w:name w:val="footer"/>
    <w:basedOn w:val="1"/>
    <w:link w:val="41"/>
    <w:autoRedefine/>
    <w:qFormat/>
    <w:uiPriority w:val="99"/>
    <w:pPr>
      <w:tabs>
        <w:tab w:val="center" w:pos="4680"/>
        <w:tab w:val="right" w:pos="9360"/>
      </w:tabs>
    </w:pPr>
  </w:style>
  <w:style w:type="paragraph" w:styleId="18">
    <w:name w:val="header"/>
    <w:basedOn w:val="1"/>
    <w:link w:val="40"/>
    <w:qFormat/>
    <w:uiPriority w:val="99"/>
    <w:pPr>
      <w:tabs>
        <w:tab w:val="center" w:pos="4680"/>
        <w:tab w:val="right" w:pos="9360"/>
      </w:tabs>
    </w:pPr>
  </w:style>
  <w:style w:type="paragraph" w:styleId="19">
    <w:name w:val="footnote text"/>
    <w:basedOn w:val="1"/>
    <w:link w:val="81"/>
    <w:semiHidden/>
    <w:qFormat/>
    <w:uiPriority w:val="99"/>
    <w:rPr>
      <w:sz w:val="20"/>
      <w:szCs w:val="20"/>
    </w:rPr>
  </w:style>
  <w:style w:type="paragraph" w:styleId="20">
    <w:name w:val="Body Text 2"/>
    <w:basedOn w:val="1"/>
    <w:link w:val="79"/>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6"/>
    <w:semiHidden/>
    <w:unhideWhenUsed/>
    <w:qFormat/>
    <w:uiPriority w:val="99"/>
    <w:rPr>
      <w:b/>
      <w:bCs/>
    </w:rPr>
  </w:style>
  <w:style w:type="paragraph" w:styleId="23">
    <w:name w:val="Body Text First Indent"/>
    <w:basedOn w:val="15"/>
    <w:link w:val="54"/>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character" w:customStyle="1" w:styleId="33">
    <w:name w:val="正文文本 字符"/>
    <w:basedOn w:val="26"/>
    <w:link w:val="15"/>
    <w:autoRedefine/>
    <w:qFormat/>
    <w:uiPriority w:val="99"/>
  </w:style>
  <w:style w:type="character" w:customStyle="1" w:styleId="34">
    <w:name w:val="题注 字符"/>
    <w:basedOn w:val="26"/>
    <w:link w:val="11"/>
    <w:autoRedefine/>
    <w:qFormat/>
    <w:uiPriority w:val="0"/>
    <w:rPr>
      <w:b/>
      <w:bCs/>
    </w:rPr>
  </w:style>
  <w:style w:type="paragraph" w:customStyle="1" w:styleId="35">
    <w:name w:val="References"/>
    <w:basedOn w:val="1"/>
    <w:qFormat/>
    <w:uiPriority w:val="99"/>
    <w:pPr>
      <w:numPr>
        <w:ilvl w:val="0"/>
        <w:numId w:val="2"/>
      </w:numPr>
      <w:adjustRightInd/>
      <w:spacing w:after="60"/>
    </w:pPr>
    <w:rPr>
      <w:sz w:val="20"/>
      <w:szCs w:val="16"/>
    </w:rPr>
  </w:style>
  <w:style w:type="paragraph" w:customStyle="1" w:styleId="36">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qFormat/>
    <w:uiPriority w:val="99"/>
    <w:pPr>
      <w:keepNext/>
      <w:jc w:val="center"/>
    </w:pPr>
  </w:style>
  <w:style w:type="paragraph" w:customStyle="1" w:styleId="38">
    <w:name w:val="Eqn"/>
    <w:basedOn w:val="1"/>
    <w:autoRedefine/>
    <w:qFormat/>
    <w:uiPriority w:val="99"/>
    <w:pPr>
      <w:tabs>
        <w:tab w:val="center" w:pos="4608"/>
        <w:tab w:val="right" w:pos="9216"/>
      </w:tabs>
    </w:pPr>
    <w:rPr>
      <w:lang w:eastAsia="ja-JP"/>
    </w:rPr>
  </w:style>
  <w:style w:type="paragraph" w:customStyle="1" w:styleId="39">
    <w:name w:val="tablecell"/>
    <w:basedOn w:val="1"/>
    <w:autoRedefine/>
    <w:qFormat/>
    <w:uiPriority w:val="99"/>
    <w:pPr>
      <w:spacing w:before="20" w:after="20"/>
      <w:jc w:val="left"/>
    </w:pPr>
  </w:style>
  <w:style w:type="character" w:customStyle="1" w:styleId="40">
    <w:name w:val="页眉 字符"/>
    <w:basedOn w:val="26"/>
    <w:link w:val="18"/>
    <w:qFormat/>
    <w:uiPriority w:val="99"/>
    <w:rPr>
      <w:sz w:val="22"/>
      <w:szCs w:val="22"/>
    </w:rPr>
  </w:style>
  <w:style w:type="character" w:customStyle="1" w:styleId="41">
    <w:name w:val="页脚 字符"/>
    <w:basedOn w:val="26"/>
    <w:link w:val="17"/>
    <w:qFormat/>
    <w:uiPriority w:val="99"/>
    <w:rPr>
      <w:sz w:val="22"/>
      <w:szCs w:val="22"/>
    </w:rPr>
  </w:style>
  <w:style w:type="paragraph" w:customStyle="1" w:styleId="42">
    <w:name w:val="tablecol"/>
    <w:basedOn w:val="39"/>
    <w:qFormat/>
    <w:uiPriority w:val="99"/>
    <w:pPr>
      <w:jc w:val="center"/>
    </w:pPr>
    <w:rPr>
      <w:b/>
    </w:rPr>
  </w:style>
  <w:style w:type="paragraph" w:styleId="43">
    <w:name w:val="List Paragraph"/>
    <w:basedOn w:val="1"/>
    <w:link w:val="48"/>
    <w:autoRedefine/>
    <w:qFormat/>
    <w:uiPriority w:val="34"/>
    <w:pPr>
      <w:ind w:firstLine="420" w:firstLineChars="200"/>
    </w:pPr>
  </w:style>
  <w:style w:type="character" w:styleId="44">
    <w:name w:val="Placeholder Text"/>
    <w:basedOn w:val="26"/>
    <w:semiHidden/>
    <w:qFormat/>
    <w:uiPriority w:val="99"/>
    <w:rPr>
      <w:color w:val="808080"/>
    </w:rPr>
  </w:style>
  <w:style w:type="character" w:customStyle="1" w:styleId="45">
    <w:name w:val="批注文字 字符"/>
    <w:basedOn w:val="26"/>
    <w:link w:val="14"/>
    <w:qFormat/>
    <w:uiPriority w:val="99"/>
    <w:rPr>
      <w:sz w:val="22"/>
      <w:szCs w:val="22"/>
    </w:rPr>
  </w:style>
  <w:style w:type="character" w:customStyle="1" w:styleId="46">
    <w:name w:val="批注主题 字符"/>
    <w:basedOn w:val="45"/>
    <w:link w:val="22"/>
    <w:autoRedefine/>
    <w:semiHidden/>
    <w:qFormat/>
    <w:uiPriority w:val="99"/>
    <w:rPr>
      <w:b/>
      <w:bCs/>
      <w:sz w:val="22"/>
      <w:szCs w:val="22"/>
    </w:rPr>
  </w:style>
  <w:style w:type="table" w:customStyle="1" w:styleId="47">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列表段落 字符"/>
    <w:link w:val="43"/>
    <w:qFormat/>
    <w:uiPriority w:val="34"/>
    <w:rPr>
      <w:sz w:val="22"/>
      <w:szCs w:val="22"/>
    </w:rPr>
  </w:style>
  <w:style w:type="paragraph" w:customStyle="1" w:styleId="49">
    <w:name w:val="a0"/>
    <w:basedOn w:val="1"/>
    <w:autoRedefine/>
    <w:qFormat/>
    <w:uiPriority w:val="99"/>
    <w:pPr>
      <w:autoSpaceDE/>
      <w:autoSpaceDN/>
      <w:adjustRightInd/>
      <w:snapToGrid/>
      <w:spacing w:before="100" w:beforeAutospacing="1" w:after="100" w:afterAutospacing="1"/>
      <w:jc w:val="left"/>
    </w:pPr>
    <w:rPr>
      <w:rFonts w:ascii="Calibri" w:hAnsi="Calibri" w:cs="Calibri" w:eastAsiaTheme="minorHAnsi"/>
      <w:lang w:val="en-GB" w:eastAsia="en-GB"/>
    </w:rPr>
  </w:style>
  <w:style w:type="table" w:customStyle="1" w:styleId="50">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4">
    <w:name w:val="正文文本首行缩进 字符"/>
    <w:basedOn w:val="33"/>
    <w:link w:val="23"/>
    <w:autoRedefine/>
    <w:qFormat/>
    <w:uiPriority w:val="99"/>
    <w:rPr>
      <w:sz w:val="22"/>
      <w:szCs w:val="22"/>
    </w:rPr>
  </w:style>
  <w:style w:type="paragraph" w:customStyle="1" w:styleId="55">
    <w:name w:val="TH"/>
    <w:basedOn w:val="1"/>
    <w:link w:val="56"/>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6">
    <w:name w:val="TH Char"/>
    <w:link w:val="55"/>
    <w:autoRedefine/>
    <w:qFormat/>
    <w:uiPriority w:val="0"/>
    <w:rPr>
      <w:rFonts w:ascii="Arial" w:hAnsi="Arial"/>
      <w:b/>
      <w:lang w:val="zh-CN"/>
    </w:rPr>
  </w:style>
  <w:style w:type="character" w:customStyle="1" w:styleId="57">
    <w:name w:val="fontstyle01"/>
    <w:basedOn w:val="26"/>
    <w:autoRedefine/>
    <w:qFormat/>
    <w:uiPriority w:val="0"/>
    <w:rPr>
      <w:rFonts w:hint="default" w:ascii="TimesNewRomanPS-ItalicMT" w:hAnsi="TimesNewRomanPS-ItalicMT"/>
      <w:i/>
      <w:iCs/>
      <w:color w:val="000000"/>
      <w:sz w:val="22"/>
      <w:szCs w:val="22"/>
    </w:rPr>
  </w:style>
  <w:style w:type="character" w:customStyle="1" w:styleId="58">
    <w:name w:val="fontstyle21"/>
    <w:basedOn w:val="26"/>
    <w:autoRedefine/>
    <w:qFormat/>
    <w:uiPriority w:val="0"/>
    <w:rPr>
      <w:rFonts w:hint="default" w:ascii="TimesNewRomanPSMT" w:hAnsi="TimesNewRomanPSMT"/>
      <w:color w:val="000000"/>
      <w:sz w:val="22"/>
      <w:szCs w:val="22"/>
    </w:rPr>
  </w:style>
  <w:style w:type="paragraph" w:customStyle="1" w:styleId="59">
    <w:name w:val="TAL"/>
    <w:basedOn w:val="1"/>
    <w:link w:val="60"/>
    <w:qFormat/>
    <w:uiPriority w:val="0"/>
    <w:pPr>
      <w:keepNext/>
      <w:keepLines/>
      <w:autoSpaceDE/>
      <w:autoSpaceDN/>
      <w:adjustRightInd/>
      <w:snapToGrid/>
      <w:spacing w:after="0"/>
      <w:jc w:val="left"/>
    </w:pPr>
    <w:rPr>
      <w:rFonts w:ascii="Arial" w:hAnsi="Arial" w:eastAsiaTheme="minorEastAsia"/>
      <w:sz w:val="18"/>
      <w:szCs w:val="20"/>
      <w:lang w:val="en-GB"/>
    </w:rPr>
  </w:style>
  <w:style w:type="character" w:customStyle="1" w:styleId="60">
    <w:name w:val="TAL Car"/>
    <w:basedOn w:val="26"/>
    <w:link w:val="59"/>
    <w:autoRedefine/>
    <w:qFormat/>
    <w:locked/>
    <w:uiPriority w:val="0"/>
    <w:rPr>
      <w:rFonts w:ascii="Arial" w:hAnsi="Arial" w:eastAsiaTheme="minorEastAsia"/>
      <w:sz w:val="18"/>
      <w:lang w:val="en-GB"/>
    </w:rPr>
  </w:style>
  <w:style w:type="paragraph" w:customStyle="1" w:styleId="61">
    <w:name w:val="PL"/>
    <w:link w:val="6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2">
    <w:name w:val="PL Char"/>
    <w:basedOn w:val="26"/>
    <w:link w:val="61"/>
    <w:autoRedefine/>
    <w:qFormat/>
    <w:locked/>
    <w:uiPriority w:val="0"/>
    <w:rPr>
      <w:rFonts w:ascii="Courier New" w:hAnsi="Courier New" w:eastAsia="Times New Roman"/>
      <w:sz w:val="16"/>
      <w:lang w:val="en-GB" w:eastAsia="ja-JP"/>
    </w:rPr>
  </w:style>
  <w:style w:type="paragraph" w:customStyle="1" w:styleId="63">
    <w:name w:val="B1"/>
    <w:basedOn w:val="1"/>
    <w:link w:val="64"/>
    <w:autoRedefine/>
    <w:qFormat/>
    <w:uiPriority w:val="0"/>
    <w:pPr>
      <w:autoSpaceDE/>
      <w:autoSpaceDN/>
      <w:adjustRightInd/>
      <w:snapToGrid/>
      <w:spacing w:after="180"/>
      <w:ind w:left="568" w:hanging="284"/>
      <w:jc w:val="left"/>
    </w:pPr>
    <w:rPr>
      <w:sz w:val="20"/>
      <w:szCs w:val="20"/>
      <w:lang w:val="zh-CN"/>
    </w:rPr>
  </w:style>
  <w:style w:type="character" w:customStyle="1" w:styleId="64">
    <w:name w:val="B1 Zchn"/>
    <w:link w:val="63"/>
    <w:autoRedefine/>
    <w:qFormat/>
    <w:uiPriority w:val="0"/>
    <w:rPr>
      <w:lang w:val="zh-CN"/>
    </w:rPr>
  </w:style>
  <w:style w:type="paragraph" w:customStyle="1" w:styleId="65">
    <w:name w:val="text intend 3"/>
    <w:basedOn w:val="1"/>
    <w:autoRedefine/>
    <w:qFormat/>
    <w:uiPriority w:val="99"/>
    <w:pPr>
      <w:numPr>
        <w:ilvl w:val="0"/>
        <w:numId w:val="3"/>
      </w:numPr>
      <w:overflowPunct w:val="0"/>
      <w:snapToGrid/>
      <w:textAlignment w:val="baseline"/>
    </w:pPr>
    <w:rPr>
      <w:rFonts w:eastAsia="MS Mincho"/>
      <w:sz w:val="24"/>
      <w:szCs w:val="20"/>
      <w:lang w:eastAsia="zh-CN"/>
    </w:rPr>
  </w:style>
  <w:style w:type="character" w:customStyle="1" w:styleId="66">
    <w:name w:val="标题 2 字符"/>
    <w:basedOn w:val="26"/>
    <w:link w:val="3"/>
    <w:autoRedefine/>
    <w:qFormat/>
    <w:uiPriority w:val="0"/>
    <w:rPr>
      <w:b/>
      <w:bCs/>
      <w:sz w:val="24"/>
      <w:szCs w:val="22"/>
    </w:rPr>
  </w:style>
  <w:style w:type="paragraph" w:customStyle="1" w:styleId="67">
    <w:name w:val="TAH"/>
    <w:basedOn w:val="68"/>
    <w:link w:val="70"/>
    <w:qFormat/>
    <w:uiPriority w:val="0"/>
    <w:rPr>
      <w:b/>
    </w:rPr>
  </w:style>
  <w:style w:type="paragraph" w:customStyle="1" w:styleId="68">
    <w:name w:val="TAC"/>
    <w:basedOn w:val="1"/>
    <w:link w:val="69"/>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69">
    <w:name w:val="TAC Char"/>
    <w:link w:val="68"/>
    <w:autoRedefine/>
    <w:qFormat/>
    <w:uiPriority w:val="0"/>
    <w:rPr>
      <w:rFonts w:ascii="Arial" w:hAnsi="Arial"/>
      <w:sz w:val="18"/>
      <w:lang w:val="en-GB"/>
    </w:rPr>
  </w:style>
  <w:style w:type="character" w:customStyle="1" w:styleId="70">
    <w:name w:val="TAH Car"/>
    <w:link w:val="67"/>
    <w:qFormat/>
    <w:uiPriority w:val="0"/>
    <w:rPr>
      <w:rFonts w:ascii="Arial" w:hAnsi="Arial"/>
      <w:b/>
      <w:sz w:val="18"/>
      <w:lang w:val="en-GB"/>
    </w:rPr>
  </w:style>
  <w:style w:type="character" w:customStyle="1" w:styleId="71">
    <w:name w:val="标题 4 字符"/>
    <w:basedOn w:val="26"/>
    <w:link w:val="5"/>
    <w:autoRedefine/>
    <w:qFormat/>
    <w:uiPriority w:val="0"/>
    <w:rPr>
      <w:b/>
      <w:bCs/>
      <w:sz w:val="22"/>
      <w:szCs w:val="28"/>
    </w:rPr>
  </w:style>
  <w:style w:type="character" w:customStyle="1" w:styleId="72">
    <w:name w:val="标题 1 字符"/>
    <w:basedOn w:val="26"/>
    <w:link w:val="2"/>
    <w:autoRedefine/>
    <w:qFormat/>
    <w:uiPriority w:val="0"/>
    <w:rPr>
      <w:b/>
      <w:bCs/>
      <w:sz w:val="28"/>
      <w:szCs w:val="28"/>
    </w:rPr>
  </w:style>
  <w:style w:type="character" w:customStyle="1" w:styleId="73">
    <w:name w:val="标题 3 字符"/>
    <w:basedOn w:val="26"/>
    <w:link w:val="4"/>
    <w:autoRedefine/>
    <w:qFormat/>
    <w:uiPriority w:val="0"/>
    <w:rPr>
      <w:b/>
      <w:sz w:val="22"/>
      <w:szCs w:val="22"/>
    </w:rPr>
  </w:style>
  <w:style w:type="character" w:customStyle="1" w:styleId="74">
    <w:name w:val="标题 5 字符"/>
    <w:basedOn w:val="26"/>
    <w:link w:val="6"/>
    <w:autoRedefine/>
    <w:qFormat/>
    <w:uiPriority w:val="0"/>
    <w:rPr>
      <w:b/>
      <w:bCs/>
      <w:i/>
      <w:iCs/>
      <w:sz w:val="22"/>
      <w:szCs w:val="26"/>
    </w:rPr>
  </w:style>
  <w:style w:type="character" w:customStyle="1" w:styleId="75">
    <w:name w:val="标题 6 字符"/>
    <w:basedOn w:val="26"/>
    <w:link w:val="7"/>
    <w:qFormat/>
    <w:uiPriority w:val="0"/>
    <w:rPr>
      <w:b/>
      <w:bCs/>
      <w:sz w:val="22"/>
      <w:szCs w:val="22"/>
    </w:rPr>
  </w:style>
  <w:style w:type="character" w:customStyle="1" w:styleId="76">
    <w:name w:val="标题 7 字符"/>
    <w:basedOn w:val="26"/>
    <w:link w:val="8"/>
    <w:autoRedefine/>
    <w:qFormat/>
    <w:uiPriority w:val="0"/>
    <w:rPr>
      <w:sz w:val="24"/>
      <w:szCs w:val="24"/>
    </w:rPr>
  </w:style>
  <w:style w:type="character" w:customStyle="1" w:styleId="77">
    <w:name w:val="标题 8 字符"/>
    <w:basedOn w:val="26"/>
    <w:link w:val="9"/>
    <w:qFormat/>
    <w:uiPriority w:val="0"/>
    <w:rPr>
      <w:i/>
      <w:iCs/>
      <w:sz w:val="24"/>
      <w:szCs w:val="24"/>
    </w:rPr>
  </w:style>
  <w:style w:type="character" w:customStyle="1" w:styleId="78">
    <w:name w:val="标题 9 字符"/>
    <w:basedOn w:val="26"/>
    <w:link w:val="10"/>
    <w:qFormat/>
    <w:uiPriority w:val="0"/>
    <w:rPr>
      <w:rFonts w:ascii="Arial" w:hAnsi="Arial" w:cs="Arial"/>
      <w:sz w:val="22"/>
      <w:szCs w:val="22"/>
    </w:rPr>
  </w:style>
  <w:style w:type="character" w:customStyle="1" w:styleId="79">
    <w:name w:val="正文文本 2 字符"/>
    <w:basedOn w:val="26"/>
    <w:link w:val="20"/>
    <w:autoRedefine/>
    <w:qFormat/>
    <w:uiPriority w:val="99"/>
    <w:rPr>
      <w:sz w:val="22"/>
    </w:rPr>
  </w:style>
  <w:style w:type="character" w:customStyle="1" w:styleId="80">
    <w:name w:val="批注框文本 字符"/>
    <w:basedOn w:val="26"/>
    <w:link w:val="16"/>
    <w:autoRedefine/>
    <w:semiHidden/>
    <w:qFormat/>
    <w:uiPriority w:val="99"/>
    <w:rPr>
      <w:rFonts w:ascii="Tahoma" w:hAnsi="Tahoma" w:cs="Tahoma"/>
      <w:sz w:val="16"/>
      <w:szCs w:val="16"/>
    </w:rPr>
  </w:style>
  <w:style w:type="character" w:customStyle="1" w:styleId="81">
    <w:name w:val="脚注文本 字符"/>
    <w:basedOn w:val="26"/>
    <w:link w:val="19"/>
    <w:semiHidden/>
    <w:qFormat/>
    <w:uiPriority w:val="99"/>
  </w:style>
  <w:style w:type="character" w:customStyle="1" w:styleId="82">
    <w:name w:val="列表段落 字符3"/>
    <w:autoRedefine/>
    <w:qFormat/>
    <w:locked/>
    <w:uiPriority w:val="34"/>
    <w:rPr>
      <w:rFonts w:eastAsia="宋体"/>
      <w:lang w:eastAsia="ja-JP"/>
    </w:rPr>
  </w:style>
  <w:style w:type="character" w:customStyle="1" w:styleId="83">
    <w:name w:val="未处理的提及1"/>
    <w:basedOn w:val="26"/>
    <w:autoRedefine/>
    <w:semiHidden/>
    <w:unhideWhenUsed/>
    <w:qFormat/>
    <w:uiPriority w:val="99"/>
    <w:rPr>
      <w:color w:val="605E5C"/>
      <w:shd w:val="clear" w:color="auto" w:fill="E1DFDD"/>
    </w:rPr>
  </w:style>
  <w:style w:type="character" w:customStyle="1" w:styleId="84">
    <w:name w:val="apple-converted-space"/>
    <w:autoRedefine/>
    <w:qFormat/>
    <w:uiPriority w:val="0"/>
  </w:style>
  <w:style w:type="paragraph" w:customStyle="1" w:styleId="85">
    <w:name w:val="Style1"/>
    <w:basedOn w:val="1"/>
    <w:link w:val="86"/>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6">
    <w:name w:val="Style1 Char"/>
    <w:link w:val="85"/>
    <w:qFormat/>
    <w:uiPriority w:val="0"/>
    <w:rPr>
      <w:rFonts w:eastAsia="Malgun Gothic" w:cs="Batang"/>
      <w:lang w:val="en-GB"/>
    </w:rPr>
  </w:style>
  <w:style w:type="table" w:customStyle="1" w:styleId="87">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8">
    <w:name w:val="B2"/>
    <w:basedOn w:val="1"/>
    <w:link w:val="89"/>
    <w:autoRedefine/>
    <w:qFormat/>
    <w:uiPriority w:val="0"/>
    <w:pPr>
      <w:autoSpaceDE/>
      <w:autoSpaceDN/>
      <w:adjustRightInd/>
      <w:snapToGrid/>
      <w:spacing w:after="180"/>
      <w:ind w:left="851" w:hanging="284"/>
      <w:jc w:val="left"/>
    </w:pPr>
    <w:rPr>
      <w:sz w:val="20"/>
      <w:szCs w:val="20"/>
      <w:lang w:val="zh-CN"/>
    </w:rPr>
  </w:style>
  <w:style w:type="character" w:customStyle="1" w:styleId="89">
    <w:name w:val="B2 Char"/>
    <w:link w:val="88"/>
    <w:autoRedefine/>
    <w:qFormat/>
    <w:uiPriority w:val="0"/>
    <w:rPr>
      <w:lang w:val="zh-CN"/>
    </w:rPr>
  </w:style>
  <w:style w:type="paragraph" w:customStyle="1" w:styleId="90">
    <w:name w:val="Proposal"/>
    <w:basedOn w:val="15"/>
    <w:autoRedefine/>
    <w:qFormat/>
    <w:uiPriority w:val="0"/>
    <w:pPr>
      <w:numPr>
        <w:ilvl w:val="0"/>
        <w:numId w:val="4"/>
      </w:numPr>
    </w:pPr>
    <w:rPr>
      <w:b/>
      <w:bCs/>
    </w:rPr>
  </w:style>
  <w:style w:type="paragraph" w:customStyle="1" w:styleId="91">
    <w:name w:val="observation"/>
    <w:basedOn w:val="1"/>
    <w:qFormat/>
    <w:uiPriority w:val="0"/>
    <w:pPr>
      <w:numPr>
        <w:ilvl w:val="0"/>
        <w:numId w:val="5"/>
      </w:numPr>
      <w:ind w:left="1418" w:hanging="1418"/>
    </w:pPr>
    <w:rPr>
      <w:rFonts w:eastAsiaTheme="minorEastAsia"/>
      <w:b/>
      <w:i/>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776</Words>
  <Characters>4167</Characters>
  <Lines>268</Lines>
  <Paragraphs>75</Paragraphs>
  <TotalTime>40</TotalTime>
  <ScaleCrop>false</ScaleCrop>
  <LinksUpToDate>false</LinksUpToDate>
  <CharactersWithSpaces>4921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2024-10-04T11:20:58Z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2052-12.1.0.18276</vt:lpwstr>
  </property>
  <property fmtid="{D5CDD505-2E9C-101B-9397-08002B2CF9AE}" pid="10" name="ICV">
    <vt:lpwstr>2DBC3700246D4A898DA005EFA14F06C5_13</vt:lpwstr>
  </property>
</Properties>
</file>